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200"/>
        <w:ind w:right="44"/>
        <w:jc w:val="right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spacing w:after="200"/>
        <w:ind w:right="44"/>
        <w:jc w:val="right"/>
        <w:rPr>
          <w:rStyle w:val="Ninguno"/>
          <w:rFonts w:ascii="Roboto" w:cs="Roboto" w:hAnsi="Roboto" w:eastAsia="Roboto"/>
          <w:b w:val="1"/>
          <w:bCs w:val="1"/>
          <w:i w:val="1"/>
          <w:i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b w:val="1"/>
          <w:bCs w:val="1"/>
          <w:i w:val="1"/>
          <w:i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Diciembre de 2018</w:t>
      </w:r>
    </w:p>
    <w:p>
      <w:pPr>
        <w:pStyle w:val="Cuerpo"/>
        <w:spacing w:before="200" w:after="200"/>
        <w:ind w:right="44"/>
        <w:jc w:val="both"/>
        <w:rPr>
          <w:rStyle w:val="Ninguno"/>
          <w:rFonts w:ascii="Rubik" w:cs="Rubik" w:hAnsi="Rubik" w:eastAsia="Rubik"/>
          <w:b w:val="1"/>
          <w:bCs w:val="1"/>
          <w:outline w:val="0"/>
          <w:color w:val="060040"/>
          <w:sz w:val="72"/>
          <w:szCs w:val="72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b w:val="1"/>
          <w:bCs w:val="1"/>
          <w:outline w:val="0"/>
          <w:color w:val="060040"/>
          <w:sz w:val="72"/>
          <w:szCs w:val="72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ACUERDO POR EL ACCESO A LA JUSTICIA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73763"/>
          <w:sz w:val="20"/>
          <w:szCs w:val="20"/>
          <w:u w:color="073763"/>
          <w14:textFill>
            <w14:solidFill>
              <w14:srgbClr w14:val="073763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Una agenda de reformas para la efectividad de los derechos</w:t>
      </w:r>
      <w:r>
        <w:rPr>
          <w:rStyle w:val="Ninguno"/>
          <w:rFonts w:ascii="Roboto" w:cs="Roboto" w:hAnsi="Roboto" w:eastAsia="Roboto"/>
          <w:outline w:val="0"/>
          <w:color w:val="fc251a"/>
          <w:sz w:val="20"/>
          <w:szCs w:val="20"/>
          <w:u w:color="fc251a"/>
          <w:rtl w:val="0"/>
          <w14:textFill>
            <w14:solidFill>
              <w14:srgbClr w14:val="FC251A"/>
            </w14:solidFill>
          </w14:textFill>
        </w:rPr>
        <w:t xml:space="preserve"> 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El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Acuerdo por el Acceso a la Justicia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”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es una iniciativa de organizaciones de la sociedad civil, instituciones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blicas, acad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micas y referentes de grupos desaventajados, que tiene por objetivo promover una agenda integral de reformas para garantizar un acceso igualitario a la justicia y hacer efectivos los derechos de la poblaci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especialmente de aquellos grupos y/o colectivos en situaci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vulnerabilidad o sobre los que debe existir un fuerte inter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estatal en su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en virtud de las particulares caracter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sticas de los sectores afectados-.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Nuestro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se encuentra lejos 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alcanzar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ndares adecuados de acceso a la justicia para toda la ciudadan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a, y este problema se acent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en los sectores desaventajados de la sociedad, que enfrentan serias violaciones de sus derechos fundamentales. Para ellos, el Poder Judicial y las oficinas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 resultan muchas veces inaccesibles, se encuentran lejanas territorialmente y les implican costos que restringen el inicio o el sostenimiento de un proceso. A su vez, no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á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garantizada la asistencia legal en todas las instancias y fueros, y los dispositivos existentes no siempre responden a las necesidades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dicas y demandas de la ciudadan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a. Paralelamente, gran parte de la poblaci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desconoce sus derechos y los mecanismos disponibles para la resoluci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conflictos, lo cual se agudiza por la baja existencia de mecanismos de participaci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 y social respecto del dise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 de las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 en materia de acceso a la justicia que deben implementar los distintos poderes del Estado,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como por la debilidad institucional actual de figuras como la del Defensor del Pueblo.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sz w:val="20"/>
          <w:szCs w:val="20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En este contexto, durante los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ltimos 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os se han creado diversos dispositivos territoriales estatales de acceso a la justicia que buscan extender los servicios de asistencia legal y mejorar la situaci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acceso a justicia de la poblaci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 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desaventajada,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como se han iniciado esfuerzos de articulaci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interinstitucional en donde la concentraci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oferta de este tipo de servicios es mayor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erence w:id="1"/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. Por otro lado, recientemente la Corte Suprema de Justicia de la Naci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anunci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ó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en medios masivos de comunicaci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un eventual plan para la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transformaci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”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 los poderes judiciales. Ello resulta a su vez complementario respecto del proceso de discusi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reformas iniciado a partir del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Plan de Justicia 2020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el cual tambi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se propone como un espacio de di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logo institucional y ciudadano. A su vez, en el marco de la Agenda de Desarrollo Sostenible (ODS) que promueve Naciones Unidas (ONU), en el 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 2019 Argentina deber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á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informar puntualmente los avances en relaci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con el acceso a la justicia (ODS 16). Asimismo, existe un amplio consenso a nivel nacional en torno a la adopci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ndares 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nimos establecidos en las 100 Reglas de Brasilia sobre Acceso a la Justicia de las Personas en Condici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n de Vulnerabilidad.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Este contexto brinda una oportunidad de discusi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profunda sobre las reformas que nuestro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s 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necesita en la materia.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un plan integral que coordine, integre y unifique las acciones, programas, planes y estrategias de los distintos poderes del Estado,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como incorpore la multiplicidad de reformas que nuestro sistema requiere, resulta una necesidad fundamental de nuestra agenda de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 de acceso a la justicia.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 coordinaci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>n de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interinstitucionales evitar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la existencia de zonas vulnerables que, por exceso (superposiciones o fragmentaci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o segmentaci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n) o defecto (zonas silenciadas o sin ning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tipo de respuesta institucional), no obtienen una respuesta jurisdiccional acorde a las necesidades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dicas. A su vez, las dificultades para la producci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sobre la gesti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gran parte de las instituciones responsables en la tem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tica, y la complejidad de los tr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mites y procedimientos administrativos y judiciales que deben enfrentar sus usuarias/os, hace que sea necesario iniciar procesos de profundas reformas en la materia. 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Las presentes propuestas para el acceso a la justicia no fueron pensadas 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lo para el Poder Judicial, ni apuntan exclusivamente a generar cambios en el dise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o del sistema desde una perspectiva institucional o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desde arriba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. Se trata, en cambio, de una propuesta centrada en las comunidades y personas que sufren las violaciones a sus derechos y la falta de instancias adecuadas para resolver sus necesidades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dicas. Su implementaci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necesita de una fuerte articulaci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intersectorial y una contundente voluntad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 por parte de los distintos poderes del Estado, pero tambi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requiere de su 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amplia apropiaci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por parte de la ciudadan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a, que debe poder conocer, usar y transformar el derecho.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Las propuestas recogen diagn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sticos e ideas surgidas en diferentes instancias de discusi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participaci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que se dieron durante los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ltimos 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os. En particular, desde el 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 2017 hasta la actualidad se realizaron una serie de encuentros, jornadas y reuniones con 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ltiples actores estatales -con mandato en el acceso a la justicia- y no estatales -pertenecientes a distintas organizaciones de la sociedad civil, organizaciones territoriales o de base, acad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micos, referentes comunitarios y personas de los distintos grupos vulnerabilizados-. En efecto, en mayo de 2017 se realiz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ó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la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Semana por el Acceso a la Justicia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que incluy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ó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una serie de encuentros tem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ticos que funcionaron como instancias de discusi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diagn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stico sobre las principales problem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vinculadas al acceso a la justicia en el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s, y permitieron identificar los obst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culos que impactan en el ejercicio efectivo de los derechos econ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micos, sociales, culturales, y ambientales (DESCA)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erence w:id="2"/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. Durante los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ltimos meses se continu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ó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con el formato de mesas de debate sobre distintas tem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relativas al acceso a la justicia en distintas provincias del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erence w:id="3"/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. 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Paralelamente, en junio de 2017 se suscribi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ó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la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Declaraci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Villa Inflamable por el Acceso a la justicia y el empoderamiento legal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”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donde se materializaron los principios y compromisos que vinculan a 23 organizaciones de la regi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exhortando al Estado, al sector privado y a la comunidad internacional a implementar acciones concretas para revertir los actuales obst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culos que enfrentan las comunidades 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desaventajadas para acceder a la justicia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erence w:id="4"/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La versi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final de este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Acuerdo por el Acceso a la Justicia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”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logr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ó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luego de diversas de instancias participativas e iterativas que enriquecieron significativamente el documento, e incluyeron una amplia discusi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con organizaciones de la sociedad civil de distintas provincias, especialistas, referentes e integrantes de comunidades y grupos desaventajados, funcionarias/os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blicos y la poblaci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>n en general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erence w:id="5"/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Este documento busca ser un aporte concreto para que estos debates puedan traducirse en propuestas concretas e integrales de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tica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blica, que puedan ser implementadas por las/os decisores/as de los diversos poderes del Estado -tanto a nivel nacional como subnacional-, y desencadenar procesos de reformas que tiendan a revertir los principales 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ficit en el acceso a la justicia en materia de conflictividad no penal en nuestro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erence w:id="6"/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.</w:t>
      </w:r>
      <w:r>
        <w:rPr>
          <w:rStyle w:val="Ninguno"/>
          <w:rFonts w:ascii="Calibri" w:hAnsi="Calibri"/>
          <w:outline w:val="0"/>
          <w:color w:val="060040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Ello podr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materializarse tanto por medio de la elaboraci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una ley nacional sobre acceso a la justicia -que a su vez promueva una amplia adhesi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las jurisdicciones provinciales-,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como a trav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de reformas graduales espec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ficas -tanto en las leyes como en el dise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 de las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ticas-.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A continuaci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se enuncian las principales 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neas de acci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sobre las que, las/os aqu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firmantes, proponemos basar una agenda de reformas en las pol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 en materia de acceso a la justicia para abordar la conflictividad civil en nuestro pa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s: 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after="200"/>
        <w:ind w:right="44"/>
        <w:jc w:val="both"/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de-DE"/>
          <w14:textFill>
            <w14:solidFill>
              <w14:srgbClr w14:val="FC251A"/>
            </w14:solidFill>
          </w14:textFill>
        </w:rPr>
        <w:t>PARA GARANTIZAR ASISTENCIA JUR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Í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 xml:space="preserve">DICA ACCESIBLE Y DE CALIDAD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implementarse un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sistema que asegure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asistencia jur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dica gratuita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y de calidad a toda persona que la necesite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tanto en sede judicial como administrativa y tanto a nivel nacional como subnacional. Para ello, deben fortalecerse las funciones y obligaciones a cargo de los Ministerios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blicos de la Defensa, de los Ministerios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blicos Fiscales, de las Defensor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 del Pueblo, de los diversos dispositivos de acceso a la justicia con que cuentan los distintos poderes del Estado, como parte de un servicio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 jerarquizado,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como crear una red interconectada y regionalizada entre prestadores, estatales y no estatales, de asistencia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 xml:space="preserve">dica gratuita.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garantizar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existencia, independencia y autonom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a de Ministerios P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blicos de la Defensa, Defensor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 del Pueblo, Defensor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 de Ni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>as, Ni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os y Adolescentes,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todas las jurisdicciones del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s, e incrementar significativamente sus presupuestos y recursos.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Deben crearse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 oficinas geogr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ficamente descentralizadas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atenci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recepci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denuncias, reclamos y prevenci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conflictos por parte de los distintos organismos estatales, asegurando una amplia cobertura geogr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fica y priorizando el emplazamiento en comunidades de alta vulnerabilidad, conformadas con equipos interdisciplinarios de abordaje. Entre ellas deben generarse los mecanismos de coordinaci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necesarios para evitar superposiciones y vacancias.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implementarse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pol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de coordinaci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derivaci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n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interinstitucionales eficientes y no burocratizadas entre las distintas oficinas estatales de asistencia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dica, a fin de evitar dilaciones innecesarias y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uniformar los protocolos de respuestas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 implementar una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 de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sistematizaci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evaluaci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monitoreo de la asistencia jur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dica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,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como establecer los criterios de calidad de los servicios de asistencia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dica gratuita.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establecer programas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Abogac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a Social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 xml:space="preserve"> y/o pr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cticas de trabajo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Pro bono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”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en todas las jurisdicciones, a fin de estimular la existencia de asistencia legal accesible y adecuadamente supervisada. Para ello deben incorporarse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de incentivos para las/os abogadas/os que se inscriban a estos programas.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Deben mejorarse las instancias de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informaci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sobre el derecho a la asistencia jur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dica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las caracter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sticas de la asistencia, la disponibilidad y el modo de acceder a los servicios, utilizando todas las 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 de comunicaci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difusi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existentes y garantizando que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stas sean accesibles -en particular, aprovechando todas las dependencias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 de todos los sectores de la administraci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n-. En los procesos judiciales debe asegurarse que las partes han accedido a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adecuada sobre este derecho.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jc w:val="both"/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PARA MEJORAR LA ACCESIBILIDAD DEL PODER JUDICIAL</w:t>
      </w:r>
    </w:p>
    <w:p>
      <w:pPr>
        <w:pStyle w:val="Cuerpo"/>
        <w:spacing w:before="200" w:after="200"/>
        <w:ind w:right="44"/>
        <w:jc w:val="both"/>
        <w:rPr>
          <w:rStyle w:val="Ninguno"/>
          <w:b w:val="1"/>
          <w:bCs w:val="1"/>
          <w:outline w:val="0"/>
          <w:color w:val="06004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de-DE"/>
          <w14:textFill>
            <w14:solidFill>
              <w14:srgbClr w14:val="0181FF"/>
            </w14:solidFill>
          </w14:textFill>
        </w:rPr>
        <w:t>REFORMAS DE GESTI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es-ES_tradnl"/>
          <w14:textFill>
            <w14:solidFill>
              <w14:srgbClr w14:val="0181FF"/>
            </w14:solidFill>
          </w14:textFill>
        </w:rPr>
        <w:t>Ó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14:textFill>
            <w14:solidFill>
              <w14:srgbClr w14:val="0181FF"/>
            </w14:solidFill>
          </w14:textFill>
        </w:rPr>
        <w:t>N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elaborarse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un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Plan Integral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”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 mediano plazo donde se especifique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el dise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 que asumir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las reformas judiciales para facilitar el acceso a la justicia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(objetivos e hitos de la reforma, fijaci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metas, gesti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recursos humanos, plazos y recursos financieros, etc).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ste deber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incluir la creaci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un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rgano de seguimiento con representantes de los organismos estatales, de los distintos grupos desaventajados y organizaciones de la sociedad civil.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Deben elaborarse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ticas tendientes a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descentralizaci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territorial del sistema judicial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para facilitar una efectiva cobertura de la</w:t>
      </w:r>
      <w:r>
        <w:rPr>
          <w:rStyle w:val="Ninguno"/>
          <w:rFonts w:ascii="Arial" w:cs="Roboto" w:hAnsi="Arial" w:eastAsia="Roboto"/>
          <w:outline w:val="0"/>
          <w:color w:val="060040"/>
          <w:sz w:val="16"/>
          <w:szCs w:val="16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poblaci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que actualmente enfrenta barreras geogr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ficas.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impulsarse la creaci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 xml:space="preserve">n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nuevos juzgados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todos aquellos fueros en que, de acuerdo a su conformaci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demanda actuales, exista sobrecarga de causas. Debe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planificarse la creaci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>n de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juzgados y/o secretar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as especializadas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en las materias que resulte pertinente, teniendo en cuenta criterios de magnitud de afectados, relevancia de la tem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 en la sociedad y la complejidad de la materia,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como avanzar en la implementaci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juzgados especializados ya creados (por ejemplo, en materia de derecho del consumidor).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implementarse la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ampliaci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horario de atenci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los tribunales y reducir las interrupciones del servicio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 de justicia durante las ferias judiciales.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tambi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se debe publicar y difundir datos de contacto de juzgados, fiscal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 y defensor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 de turno en aquellos horarios o 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as inh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biles.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implementarse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pol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de capacitaci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formaci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continua de las/os operadoras/es judiciales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materia de derechos humanos, perspectiva de g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nero y acceso a la justicia.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á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fortalecer la Justicia de Paz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relaci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 las tem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para las que resulta competente, asignando recursos e infraestructura suficiente y adecuada teniendo en consideraci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el volumen de trabajo y las necesidades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dicas de la poblaci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asignada. Asimismo, debe producirse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espec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fica sobre el funcionamiento e impactos de la justicia de paz en todas las jurisdicciones del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s. El dise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o institucional, org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nico y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tico de una justicia de paz debe estar vinculado necesariamente con su contexto.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generarse avances significativos en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incorporaci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 de tecnolog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de la informaci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de la comunicaci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n (TIC)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y herramientas electr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nicas para hacer accesibles los servicios de justicia y garantizar el acceso a la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(legajos digitales, gesti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electr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nica de expedientes, consultas y respuestas 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fr-FR"/>
          <w14:textFill>
            <w14:solidFill>
              <w14:srgbClr w14:val="060040"/>
            </w14:solidFill>
          </w14:textFill>
        </w:rPr>
        <w:t>a redes sociales, gesti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registros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blicos), y la celeridad en las notificaciones y tr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mites procesales, asegurando siempre instancias de asesoramiento y gesti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n presenciales.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de-DE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 xml:space="preserve">Deben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producirse, registrarse, sistematizarse y publicarse las sentencias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dictadas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todas las jurisdicciones del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s, permitiendo entre otros datos la identificaci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patrones de judicializaci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 seg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tipo de derecho afectado, 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intentada, grupo vulnerabilizado sobre el que impacta, resultado del proceso, tiempo de duraci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procesos.</w:t>
      </w:r>
    </w:p>
    <w:p>
      <w:pPr>
        <w:pStyle w:val="Cuerpo"/>
        <w:spacing w:after="200"/>
        <w:ind w:left="720" w:right="44" w:firstLine="0"/>
        <w:jc w:val="both"/>
        <w:rPr>
          <w:rStyle w:val="Ninguno"/>
          <w:rFonts w:ascii="Roboto" w:cs="Roboto" w:hAnsi="Roboto" w:eastAsia="Roboto"/>
          <w:sz w:val="20"/>
          <w:szCs w:val="20"/>
        </w:rPr>
      </w:pPr>
    </w:p>
    <w:p>
      <w:pPr>
        <w:pStyle w:val="Cuerpo"/>
        <w:spacing w:before="200" w:after="200"/>
        <w:jc w:val="both"/>
        <w:rPr>
          <w:rStyle w:val="Ninguno"/>
          <w:rFonts w:ascii="Oswald Regular" w:cs="Oswald Regular" w:hAnsi="Oswald Regular" w:eastAsia="Oswald Regular"/>
          <w:outline w:val="0"/>
          <w:color w:val="060040"/>
          <w:sz w:val="28"/>
          <w:szCs w:val="28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de-DE"/>
          <w14:textFill>
            <w14:solidFill>
              <w14:srgbClr w14:val="0181FF"/>
            </w14:solidFill>
          </w14:textFill>
        </w:rPr>
        <w:t>REFORMAS PROCESALES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implementarse reformas que permitan garantizar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celeridad en las resoluciones judiciales y reducir la duraci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procesos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sin afectar la garant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de debido proceso, teniendo en cuenta el tipo de reclamo y/o situaci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del grupo o persona desaventajada. Deben impulsarse mecanismos que permitan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prevenci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control y sanci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retraso judicial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y de los auxiliares de justicia.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de-DE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 xml:space="preserve">Deben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impulsarse la oralidad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todas las etapas procesales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(preparaci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juicio, tratamiento de la prueba, conciliaci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n), y adecuarse los procesos de modo de favorecer la inmediaci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n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judicial.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sancionarse una nueva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Ley en materia de acciones de amparo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que derribe los actuales obst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culos para quienes requieran accionar por esta 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(gratuidad del proceso y costos asociados, plazos de caducidad, requisito del agotamiento de la 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a administrativa, entre otros).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implementarse regulaciones en materia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acciones colectivas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tendientes a facilitar la tutela judicial en casos de vulneraciones de derechos colectivos y sobre grupos espec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ficos (gratuidad, legitimaci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activa amplia, impulso de oficio, ejecutabilidad de sentencias, reducci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barreras para la concesi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medidas cautelares, publicidad como responsabilidad estatal, entre otros).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impulsarse reformas que tiendan a otorgar mayores facultades judiciales para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 adaptabilidad de las formas procesales y el impulso de los procesos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aquellas causas que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lo permitan. En los procesos en que las partes se encuentren en condiciones de evidente desigualdad (por ejemplo en los procesos laborales, casos de consumidoras/es y usuarias/os, procesos contencioso-administrativos, etc.) debe establecerse la obligaci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Tribunal de considerar dicha circunstancia, a fin de compensar los impactos negativos que ello pudiera generar en el sostenimiento y resultado del proceso.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armonizarse la normativa, en los distintos niveles de gobierno, sobre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conflictos de competencia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(para evitar dilaciones innecesarias en la sustanciaci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inhibitorias o declinatorias), estableciendo reglas claras, plazos 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ximos de sustanciaci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mecanismos de aseguramiento de derechos que permitan la implementaci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medidas urgentes. Hasta tanto se resuelva el conflicto de competencia, deben tomarse todas las medidas asegurativas solicitadas por las partes.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autorizarse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la figura del amicus curiae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todas las instancias y jurisdicciones del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s, especialmente para casos de inter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fr-FR"/>
          <w14:textFill>
            <w14:solidFill>
              <w14:srgbClr w14:val="060040"/>
            </w14:solidFill>
          </w14:textFill>
        </w:rPr>
        <w:t>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blico.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mejorarse y simplificarse el mecanismo para acceder al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beneficio de litigar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sin gastos,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y conjuntamente establecer un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sistema de presunciones autom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ticas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para el otorgamiento del beneficio (por ejemplo, por ser beneficiaria/o de un programa estatal focalizado). Se debe extender el beneficio de litigar sin gastos y de justicia gratuita para las acciones colectivas especialmente dirigidas a proteger derechos de personas, colectivos y comunidades vulnerabilizadas.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de-DE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>Debe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reformarse la Ley nacional de medidas cautelares contra el Estado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para establecer mecanismos que faciliten su concesi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en los casos en que resulten necesarias para prevenir o revertir en forma urgente violaciones de derechos (eliminando el impedimento de coincidencia de las cautelares con el objeto de la demanda, el requisito de brindar cauci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real o personal, los plazos predeterminados de duraci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las medidas, la obligaci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correr traslados previos a su concesi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entre otras). A su vez, deben generarse mecanismos de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aquellas/os litigantes que obtengan medidas cautelares, a fin de evitar que su responsabilizaci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opere como desincentivo para el acceso a la justicia (por ejemplo, a trav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de demandas de da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os y perjuicios).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asegurarse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mecanismos y procesos expeditos para las causas de menor cuant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adaptando y adecuando la tramitaci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procedimientos a la complejidad de los casos.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incorporarse en forma expl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cita el principio procesal de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amplitud probatoria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y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carga din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mica de prueba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. 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de-DE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 xml:space="preserve">Debe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limitarse la facultad discrecional para no dar tratamiento al recurso extraordinario federal, sin necesidad de expresar fundamentos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con que cuenta la Corte Suprema de Justicia de la Naci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after="200" w:line="240" w:lineRule="auto"/>
        <w:rPr>
          <w:rStyle w:val="Ninguno"/>
          <w:b w:val="1"/>
          <w:bCs w:val="1"/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de-DE"/>
          <w14:textFill>
            <w14:solidFill>
              <w14:srgbClr w14:val="FC251A"/>
            </w14:solidFill>
          </w14:textFill>
        </w:rPr>
        <w:t>PARA MEJORAR LOS MECANISMOS ALTERNATIVOS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  <w:br w:type="textWrapping"/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14:textFill>
            <w14:solidFill>
              <w14:srgbClr w14:val="FC251A"/>
            </w14:solidFill>
          </w14:textFill>
        </w:rPr>
        <w:t>DE SOLUCI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Ó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n-US"/>
          <w14:textFill>
            <w14:solidFill>
              <w14:srgbClr w14:val="FC251A"/>
            </w14:solidFill>
          </w14:textFill>
        </w:rPr>
        <w:t>N DE CONFLICTOS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impulsarse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 existencia, accesibilidad y confiabilidad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mecanismos alternativos de soluci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conflictos (MASC).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evaluarse la pertinencia de los tipos de casos sujetos a la obligatoriedad de la mediaci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prejudicial, a partir de la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estad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stica producida y relevada por el estado, a fin de que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no opere en la pr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ctica como una barrera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para el acceso a la jurisdicci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generarse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informaci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realizarse evaluaciones peri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dicas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sobre el volumen de conflictos que son resueltos mediante MASC, los tiempos de los procesos, la eficacia de los acuerdos, entre otros aspectos.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establecerse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para los distintos procesos judiciales la posibilidad de autocomposici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litigio por las partes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estableciendo incentivos respecto de esta forma de resoluci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after="200" w:line="240" w:lineRule="auto"/>
        <w:rPr>
          <w:rStyle w:val="Ninguno"/>
          <w:b w:val="1"/>
          <w:bCs w:val="1"/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PARA MEJORAR LA CANALIZACI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Ó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 xml:space="preserve">N DE RECLAMOS 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  <w:br w:type="textWrapping"/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de-DE"/>
          <w14:textFill>
            <w14:solidFill>
              <w14:srgbClr w14:val="FC251A"/>
            </w14:solidFill>
          </w14:textFill>
        </w:rPr>
        <w:t>Y PETICIONES EN SEDE ADMINISTRATIVA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reformarse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Ley Nacional de Procedimientos Administrativos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y las leyes provinciales equivalentes, para asegurar plazos adecuados de respuesta estatal en casos que no admiten dilaciones.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ampliar la procedencia de recursos y presentaciones en sede administrativa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a aquellos casos en los que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en juego intereses colectivos, reconociendo una amplia legitimaci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activa a las organizaciones de la sociedad civil.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crear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ventanillas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nicas de atenci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>n geogr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ficamente descentralizadas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que canalicen reclamos y peticiones de la totalidad de las carteras y jurisdicciones (municipal, provincial y nacional) en todo el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deben implementar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ticas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digitalizaci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totalidad de los tr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fr-FR"/>
          <w14:textFill>
            <w14:solidFill>
              <w14:srgbClr w14:val="060040"/>
            </w14:solidFill>
          </w14:textFill>
        </w:rPr>
        <w:t>mites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y establecer canales expeditos de comunicaci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reclamos, mediante servicios en 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nea gratuitos -sin eliminar las instancias de atenci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presencial-.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generarse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instancias de oralidad e inmediaci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el marco de los procedimientos administrativos.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El acceso a la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contenida en los expedientes administrativos sobre los que se solicite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la toma de vista, debe ser plena e inmediata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para cualquier ciudadana/o en los casos en que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en juego derechos colectivos y la defensa de bienes comunes. En los sistemas de tramitaci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expedientes informatizados este acceso debe permitirse a distancia a trav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s de internet.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establecer una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pol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tica p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 de capacitaci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al cuerpo administrativo en materia de acceso a la justicia y con perspectiva de g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nero, interculturalidad y derechos humanos.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Las oficinas estatales que reciben denuncias individuales deben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identificar patrones de repetici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>n de problem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ticas, con miras a impulsar la resoluci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colectiva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las vulneraciones de derechos que se detecten como generalizadas. Deber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tenerse en cuenta para ello los resultados de la aplicaci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indicadores del Protocolo de San Salvador.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designar al Defensor/a del Pueblo de la Naci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erence w:id="7"/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asegurar en adelante su continuidad institucional para que no vuelvan a producirse vacancias en el cargo. El proceso de designaci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Defensor/a del Pueblo debe realizarse por medio de procedimientos transparentes y participativos que aseguren la idoneidad de quien resulte designada/o en el cargo. A su vez, debe crearse y/o fortalecerse esta figura en todas las instancias subnacionales. Su intervenci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actuaci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-incluso judicial- debe ser de oficio en casos de vulneraci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colectiva de derechos.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fortalecer en todas las jurisdicciones el rol de los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entes de control y regulaci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servicios p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blicos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unificando y simplificando las formas y mecanismos de reclamos disponibles para la ciudadan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a, fomentando el conocimiento de la funci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 xml:space="preserve">n de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stos y la utilizaci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sus servicios, para mejorar el control, vigilancia, sanci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regulaci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prestaci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servicios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blicos. 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after="200" w:line="240" w:lineRule="auto"/>
        <w:rPr>
          <w:rStyle w:val="Ninguno"/>
          <w:b w:val="1"/>
          <w:bCs w:val="1"/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PARA EL EMPODERAMIENTO JUR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Í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 xml:space="preserve">DICO 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  <w:br w:type="textWrapping"/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n-US"/>
          <w14:textFill>
            <w14:solidFill>
              <w14:srgbClr w14:val="FC251A"/>
            </w14:solidFill>
          </w14:textFill>
        </w:rPr>
        <w:t>Y LA PARTICIPACI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Ó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N DE LA CIUDADAN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Í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14:textFill>
            <w14:solidFill>
              <w14:srgbClr w14:val="FC251A"/>
            </w14:solidFill>
          </w14:textFill>
        </w:rPr>
        <w:t>A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deben implementar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pol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masivas de difusi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derechos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y de las 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as y mecanismos existentes para reclamar en caso de que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stos sean vulnerados, incluyendo por medios alternativos, comunitarios, campesinos e ind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genas.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Deben generarse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blicas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educaci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en derechos y para el empoderamiento legal comunitario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, extendiendo sus alcances 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mbitos de educaci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formal e informal, con miras a que las personas, colectivos y comunidades conozcan la estructura de derechos garantizada por el Estado, los mecanismos para hacerlos exigibles y los organismos responsables de su promoci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deben extender las estrategias promocionales de empoderamiento legal comunitario y profundizar los procesos de 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 xml:space="preserve">n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facilitadores/agentes/promotores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acceso a la justicia, procurando su financiamiento e inserci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n institucional.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establecerse un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sistema de indicadores de participaci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social y empoderamiento legal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para evaluar los resultados de las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 implementadas con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desagregada por grupo vulnerabilizado, de manera que permita medir su impacto en relaci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n 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stos.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Deben habilitarse canales -digitales y presenciales- para que la ciudadan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a informe a las/os decisoras/es estatales los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tr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mites, procedimientos o normativa (obsoleta, contradictoria, compleja), que requieren ser modificados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por constituirse en obst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culos para el ejercicio del derecho.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establecer un sistema para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 participaci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ciudadan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en el dise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o, ejecuci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evaluaci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las pol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blicas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para el acceso a la justicia que implementen los diversos poderes del Estado.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Arial" w:cs="Roboto" w:hAnsi="Arial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</w:t>
      </w:r>
      <w:r>
        <w:rPr>
          <w:rStyle w:val="Ninguno"/>
          <w:rFonts w:ascii="Arial" w:cs="Roboto" w:hAnsi="Arial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reglamentar el </w:t>
      </w:r>
      <w:r>
        <w:rPr>
          <w:rStyle w:val="Ninguno"/>
          <w:rFonts w:ascii="Arial" w:cs="Roboto" w:hAnsi="Arial" w:eastAsia="Roboto" w:hint="default"/>
          <w:b w:val="1"/>
          <w:bCs w:val="1"/>
          <w:outline w:val="0"/>
          <w:color w:val="060040"/>
          <w:sz w:val="20"/>
          <w:szCs w:val="20"/>
          <w:u w:color="060040"/>
          <w:rtl w:val="1"/>
          <w:lang w:val="ar-SA" w:bidi="ar-SA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Arial" w:cs="Roboto" w:hAnsi="Arial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Acuerdo de Escaz</w:t>
      </w:r>
      <w:r>
        <w:rPr>
          <w:rStyle w:val="Ninguno"/>
          <w:rFonts w:ascii="Arial" w:cs="Roboto" w:hAnsi="Arial" w:eastAsia="Roboto" w:hint="default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ú”</w:t>
      </w:r>
      <w:r>
        <w:rPr>
          <w:rStyle w:val="Ninguno"/>
          <w:rFonts w:ascii="Arial" w:cs="Roboto" w:hAnsi="Arial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para garantizar el acceso a la informaci</w:t>
      </w:r>
      <w:r>
        <w:rPr>
          <w:rStyle w:val="Ninguno"/>
          <w:rFonts w:ascii="Arial" w:cs="Roboto" w:hAnsi="Arial" w:eastAsia="Roboto" w:hint="default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Arial" w:cs="Roboto" w:hAnsi="Arial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la participaci</w:t>
      </w:r>
      <w:r>
        <w:rPr>
          <w:rStyle w:val="Ninguno"/>
          <w:rFonts w:ascii="Arial" w:cs="Roboto" w:hAnsi="Arial" w:eastAsia="Roboto" w:hint="default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Arial" w:cs="Roboto" w:hAnsi="Arial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ciudadana y el acceso a la justicia en asuntos ambientales.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</w:pPr>
    </w:p>
    <w:p>
      <w:pPr>
        <w:pStyle w:val="Cuerpo"/>
        <w:spacing w:line="240" w:lineRule="auto"/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</w:pPr>
    </w:p>
    <w:p>
      <w:pPr>
        <w:pStyle w:val="Cuerpo"/>
        <w:spacing w:line="240" w:lineRule="auto"/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</w:pPr>
    </w:p>
    <w:p>
      <w:pPr>
        <w:pStyle w:val="Cuerpo"/>
        <w:spacing w:line="240" w:lineRule="auto"/>
        <w:rPr>
          <w:rStyle w:val="Ninguno"/>
          <w:rFonts w:ascii="Oswald Regular" w:cs="Oswald Regular" w:hAnsi="Oswald Regular" w:eastAsia="Oswald Regular"/>
          <w:sz w:val="36"/>
          <w:szCs w:val="36"/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n-US"/>
          <w14:textFill>
            <w14:solidFill>
              <w14:srgbClr w14:val="FC251A"/>
            </w14:solidFill>
          </w14:textFill>
        </w:rPr>
        <w:t>PARA LA PROTECCI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Ó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 xml:space="preserve">N DE PERSONAS Y 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  <w:br w:type="textWrapping"/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de-DE"/>
          <w14:textFill>
            <w14:solidFill>
              <w14:srgbClr w14:val="FC251A"/>
            </w14:solidFill>
          </w14:textFill>
        </w:rPr>
        <w:t xml:space="preserve">COLECTIVOS ESPECIALMENTE VULNERABILIZADOS </w:t>
      </w:r>
    </w:p>
    <w:p>
      <w:pPr>
        <w:pStyle w:val="Cuerpo"/>
        <w:spacing w:before="200" w:after="200"/>
        <w:jc w:val="both"/>
        <w:rPr>
          <w:rStyle w:val="Ninguno"/>
          <w:rFonts w:ascii="Oswald Regular" w:cs="Oswald Regular" w:hAnsi="Oswald Regular" w:eastAsia="Oswald Regular"/>
          <w:outline w:val="0"/>
          <w:color w:val="060040"/>
          <w:sz w:val="36"/>
          <w:szCs w:val="36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es-ES_tradnl"/>
          <w14:textFill>
            <w14:solidFill>
              <w14:srgbClr w14:val="0181FF"/>
            </w14:solidFill>
          </w14:textFill>
        </w:rPr>
        <w:t xml:space="preserve">ASPECTOS COMUNES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adoptar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protocolos de atenci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no discriminaci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n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para grupos en situaci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vulnerabilidad (en raz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edad, g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nero, situaci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migratoria, etnia, discapacidad, o condici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 socioecon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mica) que incluyan un enfoque interseccional. Dichos protocolos deben estar consensuados y validados con los colectivos implicados y ser implementados de manera uniforme entre distintos sectores del Estado.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generarse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materiales accesibles, diferenciados, y contextualizados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para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 comunicaci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notificaci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actos procesales relevantes,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teniendo en cuenta las particularidades de grupos en situaci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vulnerabilidad.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 utilizar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lenguaje claro, sencillo e inclusivo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todas las resoluciones judiciales, actos procesales, procedimientos e instancias judiciales o administrativas, procurando</w:t>
      </w:r>
      <w:r>
        <w:rPr>
          <w:rStyle w:val="Ninguno"/>
          <w:rFonts w:ascii="Arial" w:cs="Roboto" w:hAnsi="Arial" w:eastAsia="Roboto"/>
          <w:outline w:val="0"/>
          <w:color w:val="060040"/>
          <w:sz w:val="22"/>
          <w:szCs w:val="22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generar distintos niveles de adaptaci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contenido a comunicar o utilizar.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asegurarse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el acceso a int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rpretes y traductores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en caso que una de las partes pertenezca a una minor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a ling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üí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stica y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tnica, y asegurarse durante el proceso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las adecuaciones culturales, comunicacionales y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micas necesarias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adoptando una perspectiva de interculturalidad.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elaborar e implementar programas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alfabetizaci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 e inclusi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 digital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para facilitar el acceso a las TIC a los grupos vulnerabilizados,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como procurar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 utilizaci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lenguaje y comunicaci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clara en las plataformas web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aplicaciones 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viles, publicaciones, folletos y campa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 de difusi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n que se realicen.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 incluir en los concursos de oposici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antecedentes para la designaci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magistrados y para la promoci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quienes forman parte de la carrera judicial y/o administrativa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la acreditaci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requisitos obligatorios sobre perspectiva de Derechos Humanos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, g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nero, interculturalidad,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integral de ni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os, ni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as y adolescentes (NNYA), derechos de las/os migrantes, modelo social de la discapacidad, entre otros temas; trabajen o no en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reas vinculadas con la atenci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n directa a grupos vulnerabilizados.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asegurarse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representatividad y participaci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prioritaria de los grupos vulnerabilizados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el dise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o, implementaci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evaluaci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las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 sobre acceso a la justicia que los afecten especialmente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.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  <w:br w:type="textWrapping"/>
      </w:r>
    </w:p>
    <w:p>
      <w:pPr>
        <w:pStyle w:val="Cuerpo"/>
        <w:spacing w:before="200" w:after="200"/>
        <w:jc w:val="both"/>
        <w:rPr>
          <w:rStyle w:val="Ninguno"/>
          <w:rFonts w:ascii="Oswald Regular" w:cs="Oswald Regular" w:hAnsi="Oswald Regular" w:eastAsia="Oswald Regular"/>
          <w:outline w:val="0"/>
          <w:color w:val="060040"/>
          <w:sz w:val="28"/>
          <w:szCs w:val="28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de-DE"/>
          <w14:textFill>
            <w14:solidFill>
              <w14:srgbClr w14:val="0181FF"/>
            </w14:solidFill>
          </w14:textFill>
        </w:rPr>
        <w:t>PERSONAS EN SITUACI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es-ES_tradnl"/>
          <w14:textFill>
            <w14:solidFill>
              <w14:srgbClr w14:val="0181FF"/>
            </w14:solidFill>
          </w14:textFill>
        </w:rPr>
        <w:t>Ó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es-ES_tradnl"/>
          <w14:textFill>
            <w14:solidFill>
              <w14:srgbClr w14:val="0181FF"/>
            </w14:solidFill>
          </w14:textFill>
        </w:rPr>
        <w:t>N DE POBREZA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deben implementar programas, planes y estrategias para asegurar el efectivo acceso a la justicia de las personas en situaci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pobreza, en particular promoviendo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alfabetizaci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 jur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dica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asegurarse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servicios sociales de apoyo para los grupos vulnerables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cuando sea necesario para la continuidad y sostenimiento de un proceso judicial o extrajudicial, facilitando a quienes no puedan afrontarlo asistencia econ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mica en relaci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 los obst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culos relativos a movilidad, alojamiento, alimentaci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entre otros.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deben promover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blicas nacionales a fin de proporcionar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acceso a una identidad jur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 para todos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en particular mediante el registro de nacimientos. Para ello, se debe establecer un organismo nacional que centralice el control, coordinaci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y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ndares comunes de los tr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mites como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tambi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el funcionamiento de los organismos que intervienen en el registro de identidad. Debe reglamentarse la Ley 26.413, garantizando su cumplimiento en cada registro civil del territorio nacional, y revertirse las pr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cticas arbitrarias a nivel provincial.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gratuidad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extenderse a todos los tr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mites.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su vez, debe establecerse un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procedimiento especial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-judicial y/o administrativo- que permita admitir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acciones urgentes de protecci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derechos para personas indocumentadas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. En todos los casos los organismos deben estar capacitados para orientar, y asesorar en la materia y dar seguimiento longitudinal de la gesti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 del caso.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reformarse la normativa vigente para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asegurar la bilateralidad en todos los procesos de desocupaci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inmuebles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. Ning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desalojo por la fuerza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blica puede ser dispuesto sin respetar previamente el derecho de defensa. En todos los casos deben respetarse los principios internacionales rectores en caso de desplazamientos coaccionados o forzosos. </w:t>
      </w:r>
    </w:p>
    <w:p>
      <w:pPr>
        <w:pStyle w:val="Cuerpo"/>
        <w:spacing w:after="200"/>
        <w:jc w:val="both"/>
        <w:rPr>
          <w:rStyle w:val="Ninguno"/>
          <w:b w:val="1"/>
          <w:bCs w:val="1"/>
          <w:outline w:val="0"/>
          <w:color w:val="060040"/>
          <w:sz w:val="28"/>
          <w:szCs w:val="28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14:textFill>
            <w14:solidFill>
              <w14:srgbClr w14:val="0181FF"/>
            </w14:solidFill>
          </w14:textFill>
        </w:rPr>
        <w:t>NI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es-ES_tradnl"/>
          <w14:textFill>
            <w14:solidFill>
              <w14:srgbClr w14:val="0181FF"/>
            </w14:solidFill>
          </w14:textFill>
        </w:rPr>
        <w:t>Ñ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14:textFill>
            <w14:solidFill>
              <w14:srgbClr w14:val="0181FF"/>
            </w14:solidFill>
          </w14:textFill>
        </w:rPr>
        <w:t>OS, NI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es-ES_tradnl"/>
          <w14:textFill>
            <w14:solidFill>
              <w14:srgbClr w14:val="0181FF"/>
            </w14:solidFill>
          </w14:textFill>
        </w:rPr>
        <w:t>Ñ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es-ES_tradnl"/>
          <w14:textFill>
            <w14:solidFill>
              <w14:srgbClr w14:val="0181FF"/>
            </w14:solidFill>
          </w14:textFill>
        </w:rPr>
        <w:t>AS Y ADOLESCENTES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fortalecer los mecanismos de protecci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creados para garantizar la efectividad de los derechos de los y las NNYA, teniendo en cuenta en todas las instancias, pr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cticas y procesos, el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paradigma de protecci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 integral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fr-FR"/>
          <w14:textFill>
            <w14:solidFill>
              <w14:srgbClr w14:val="060040"/>
            </w14:solidFill>
          </w14:textFill>
        </w:rPr>
        <w:t xml:space="preserve">,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autonom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progresiva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y el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inter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s superior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las/os Ni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>as, Ni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os y Adolescentes en car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cter de parte procesal, sin sustituir su voluntad.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armonizar los marcos normativos, institucionales y jurisprudenciales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en pos de la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integral de NNYA, adecuando las pr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cticas y procedimientos a la aplicaci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modelo de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integral de derechos.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designar al/a la Defensor/a de Ni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>as, Ni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os y Adolescentes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a fin establecer una instituci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control de las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 para la infancia, garantizando en todas las instancias y procesos la participaci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genuina de las ni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as, ni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os y adolescentes,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como asignarse un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presupuesto adecuado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para la creaci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estructura institucional de la Defensor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a.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Deben adecuarse, en todas las jurisdicciones, los servicios de patrocinio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dico gratuito especializados para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garantizar el acceso de NNyA a contar con asistencia jur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dica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mediante figuras como el/la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abogado/a del NNyA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. Se debe llevar en todas las jurisdicciones un registro de los/as abogados/as de los y las NNYA y garantizarse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distribuci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>n geogr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fica equitativa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stos mediante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ticas de incentivos.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Las/os defensoras/es de los NNYA y las/os operadoras/es judiciales y/o administrativas/os deben recibir y aprobar capacitaciones en materia de derechos humanos y en particular, en relaci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al paradigma de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Integral de NNYA. Deben acordarse en todas las jurisdicciones criterios 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nimos sobre los que debe versar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capacitaci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,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evaluaci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supervisi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los servicios prestados por estos cuerpos.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En todas las instancias y procesos debe asegurarse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inmediaci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del/a juez/a, y establecerse procedimientos efectivos para el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reconocimiento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en el contexto en el que los NNYA se desarrollan.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adecuar las estructuras edilicias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los organismos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blicos de modo que permitan asegurar y resguardar el derecho a la intimidad de los/as NNYA, evitando la revictimizaci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Todos los procesos sobre medidas excepcionales dispuestas por autoridad administrativa vinculadas con NNyA sin cuidados parentales, deben estar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sometidos a control y revisi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judicial, y asegurarse la participaci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y asistencia legal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a la familia biol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gica en el proceso de adopci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n. Asimismo,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deben promover las instancias de supervisi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n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por parte de organismos de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n, articulados con otros actores de las distintas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reas que integran el sistema de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integral de derecho de NNyA alojados en dispositivos de cuidado institucional y/o sistemas de cuidado familiar, garantizando la asistencia y representaci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los/as abogadas de los/as NNyA.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realizarse en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forma peri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 relevamientos nacionales sobre la situaci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institucionalizaci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n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tanto de entidades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 como privadas de NNyA, para la toma decisiones en materia de acceso a la justicia, aplicando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ndares de calidad de gesti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en dispositivos institucionales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garantizar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inscripci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nacimiento tard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 los y las NNYA por la 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administrativa, con intervenci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Defensor/a de NNyA. A su vez, se debe garantizar el acceso a todos los NNyA a sus derechos -incluyendo de seguridad social-, aun cuando no puedan acreditar filiaci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por tener padres sin registro, o con documentaci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n irregular.</w:t>
      </w:r>
    </w:p>
    <w:p>
      <w:pPr>
        <w:pStyle w:val="Cuerpo"/>
        <w:spacing w:after="200"/>
        <w:ind w:left="720" w:right="44" w:firstLine="0"/>
        <w:jc w:val="both"/>
        <w:rPr>
          <w:rStyle w:val="Ninguno"/>
          <w:rFonts w:ascii="Roboto" w:cs="Roboto" w:hAnsi="Roboto" w:eastAsia="Roboto"/>
          <w:sz w:val="20"/>
          <w:szCs w:val="20"/>
        </w:rPr>
      </w:pPr>
    </w:p>
    <w:p>
      <w:pPr>
        <w:pStyle w:val="Cuerpo"/>
        <w:spacing w:after="200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14:textFill>
            <w14:solidFill>
              <w14:srgbClr w14:val="0181FF"/>
            </w14:solidFill>
          </w14:textFill>
        </w:rPr>
        <w:t>PERSONAS MAYORES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deben implementar estrategias que permitan abordar la situaci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las personas mayores, teniendo en cuenta una perspectiva de ciclo vital,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evitando estereotipos y prejuicios en relaci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 la edad, promoviendo el trato digno en los servicios de justicia y administrativos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generar mecanismos que permitan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garantizar la debida diligencia y el tratamiento preferencial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la persona mayor para la tramitaci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resoluci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ejecuci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las decisiones en procesos administrativos y judiciales.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 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garantizarse la actuaci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judicial expedita, de manera particular, en casos en que se encuentre en riesgo la salud o la vida de la persona mayor.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Deben introducirse modelos de gesti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judicial y administrativa que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simplifiquen el sistema de acceso a las personas mayores que se encuentren en situaci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dependencia de cuidados,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garantiz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ndose dicho cuidado -en tanto derecho humano fundamental- como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tica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blica.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implementar programas que permitan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reducir la brecha digital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relaci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 las tecnolog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 de la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comunicaci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(TIC) que afecta actualmente a las personas mayores.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 fomentar la generaci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 xml:space="preserve">n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espacios de capacitaci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del personal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judicial y administrativo sobre la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derechos de la persona mayor, teniendo en cuenta los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ndares que surgen de la Convenci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Interamericana sobre la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derechos humanos de las personas mayores.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realizarse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estudios sistem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ticos para identificar los principales obst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culos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el acceso a la justicia que enfrentan las personas mayores.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sz w:val="20"/>
          <w:szCs w:val="20"/>
        </w:rPr>
      </w:pPr>
    </w:p>
    <w:p>
      <w:pPr>
        <w:pStyle w:val="Cuerpo"/>
        <w:spacing w:before="200" w:after="200"/>
        <w:jc w:val="both"/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14:textFill>
            <w14:solidFill>
              <w14:srgbClr w14:val="0181FF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de-DE"/>
          <w14:textFill>
            <w14:solidFill>
              <w14:srgbClr w14:val="0181FF"/>
            </w14:solidFill>
          </w14:textFill>
        </w:rPr>
        <w:t xml:space="preserve">PERSONAS CON DISCAPACIDAD </w:t>
      </w:r>
    </w:p>
    <w:p>
      <w:pPr>
        <w:pStyle w:val="Cuerpo"/>
        <w:numPr>
          <w:ilvl w:val="0"/>
          <w:numId w:val="2"/>
        </w:numPr>
        <w:bidi w:val="0"/>
        <w:ind w:right="40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asegurar que las PCD puedan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tomar decisiones y expresar sus opiniones en igualdad de condiciones, sin ser sustituidas por otras personas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. A dichos fines deben garantizarse condiciones de accesibilidad, y los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apoyos y ajustes razonables necesarios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todos los procesos administrativos y/o judiciales que las involucren.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elaborar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programas de capacitaci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n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para que los operadores administrativos, judiciales, equipos interdisciplinarios y el cuerpo 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dico forense puedan comunicarse y brindar a las PCD asesoramiento, asistencia 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cnica y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 de acuerdo a los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ndares internacionales de derechos humanos, en particular de acuerdo al modelo social de discapacidad.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asegurarse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plena accesibilidad de las instalaciones edilicias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 la totalidad de las dependencias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 de todo el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s, efectuando todas las adecuaciones arquitect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nicas que sean necesarias para eliminar barreras f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sicas.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garantizar la plena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accesibilidad de las comunicaciones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para las PCD, asegur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ndose la disponibilidad de int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rpretes en Lengua de Se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as, la utilizaci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Braille, de medios de voz digitalizada, del lenguaje sencillo y/o, en general, la implementaci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modos, medios o formatos aumentativos y alternativos de comunicaci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sobre la base del respeto de la dignidad inherente, la autonom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individual y el principio de no discriminaci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nl-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 xml:space="preserve">Deben proveerse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servicios de transporte accesibles a las PCD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que les permitan asistir a las oficinas necesarias para el impulso de todo proceso o tr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mite (testimoniales, audiencias, certificaci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firmas, etc.) y/o para el acceso a asistencia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 y 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cnica. A su vez, deben ofrecerse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servicios domiciliarios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para aquellos casos en que las personas no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en condiciones de asistir a dichas dependencias por su propia cuenta.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Deben implementarse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ticas destinadas a que los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procesos de determinaci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capacidad jur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 xml:space="preserve">dica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respeten los derechos y la voluntad de las PCD, restringiendo el instituto de la curatela a situaciones excepcionales de personas que </w:t>
      </w:r>
      <w:r>
        <w:rPr>
          <w:rStyle w:val="Ninguno"/>
          <w:rFonts w:ascii="Verdana" w:cs="Roboto" w:hAnsi="Verdana" w:eastAsia="Roboto"/>
          <w:outline w:val="0"/>
          <w:color w:val="060040"/>
          <w:sz w:val="18"/>
          <w:szCs w:val="18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se encuentren absolutamente imposibilitadas de interaccionar con su entorno y expresar su voluntad por cualquier modo, medio o formato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y garantizando que el sistema de apoyos para la toma de decisiones funciones respetando los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ndares del derecho internacional de los derechos humanos.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á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garantizar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revisi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las sentencias de determinaci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capacidad jur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dica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a pedido de la persona interesada, o de oficio por el Juez/a en el plazo establecido por la Ley 26.657 (Ley Nacional de Salud Mental). A Deben establecerse mecanismos peri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dicos de seguimiento y evaluaci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las figuras de apoyo, de equipos interdisciplinarios, de las intervenciones judiciales y de los dem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actores con injerencia en este tipo de procesos, y establecer sistemas transparentes para la designaci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apoyos y la regulaci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sus honorarios en los casos en que correspondan, garantizando la participaci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las PCD en todas las instancias.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asegurarse que el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control judicial de las internaciones involuntarias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por salud mental se realice en todos los casos de acuerdo al modelo social de la discapacidad y a los criterios establecidos en la Ley 26.657 (LNSM), de modo que no se restrinjan los derechos de las personas internadas con fundamento en diagn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sticos 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dicos y que cesen las internaciones que no cumplan con los requisitos legales. Estos controles deben realizarse garantizando la participaci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las personas con discapacidad y respetando su voluntad y sus preferencias. A su vez, se debe garantizar la existencia, independencia y autonom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a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rganos de control y supervisi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las internaciones y de las pol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de salud mental en todas las jurisdicciones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del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s.</w:t>
      </w:r>
    </w:p>
    <w:p>
      <w:pPr>
        <w:pStyle w:val="Cuerpo"/>
        <w:numPr>
          <w:ilvl w:val="0"/>
          <w:numId w:val="3"/>
        </w:numPr>
        <w:ind w:right="40"/>
        <w:jc w:val="both"/>
        <w:rPr>
          <w:sz w:val="20"/>
          <w:szCs w:val="2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Cada jurisdicci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deber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á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garantizar el acceso de las personas internadas involuntariamente en instituciones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 o privadas, al patrocinio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dico gratuito que asegure su derecho de defensa, impulsando para ello la implementaci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art. 22 de la Ley 26.657.</w:t>
      </w:r>
    </w:p>
    <w:p>
      <w:pPr>
        <w:pStyle w:val="Cuerpo"/>
        <w:numPr>
          <w:ilvl w:val="0"/>
          <w:numId w:val="3"/>
        </w:numPr>
        <w:spacing w:after="200"/>
        <w:ind w:right="40"/>
        <w:jc w:val="both"/>
        <w:rPr>
          <w:sz w:val="20"/>
          <w:szCs w:val="2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Cada jurisdicci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deber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á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crear los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rganos de Revisi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Salud Mental establecidos en el art. 40 de la LSM y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fortalecer los existentes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garantizando su independencia de la autoridad de aplicaci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la conformaci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equipos interdisciplinarios y la idoneidad de los mismos. Dichos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rganos deber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tener competencias para actuar en toda instituci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 o privada en la que pueda haber personas con problem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ticas de salud mental o adicciones. </w:t>
      </w:r>
    </w:p>
    <w:p>
      <w:pPr>
        <w:pStyle w:val="Cuerpo"/>
        <w:spacing w:after="200"/>
        <w:ind w:left="720" w:right="40" w:firstLine="0"/>
        <w:jc w:val="both"/>
      </w:pPr>
    </w:p>
    <w:p>
      <w:pPr>
        <w:pStyle w:val="Cuerpo"/>
        <w:spacing w:before="200" w:after="200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14:textFill>
            <w14:solidFill>
              <w14:srgbClr w14:val="0181FF"/>
            </w14:solidFill>
          </w14:textFill>
        </w:rPr>
        <w:t>G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es-ES_tradnl"/>
          <w14:textFill>
            <w14:solidFill>
              <w14:srgbClr w14:val="0181FF"/>
            </w14:solidFill>
          </w14:textFill>
        </w:rPr>
        <w:t>É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de-DE"/>
          <w14:textFill>
            <w14:solidFill>
              <w14:srgbClr w14:val="0181FF"/>
            </w14:solidFill>
          </w14:textFill>
        </w:rPr>
        <w:t>NERO: MUJERES Y DIVERSIDAD SEXUAL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pt-PT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Debe promoverse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la igualdad formal, material y estructural de las mujeres y de lesbianas, trans, travestis, gays, bisexuales, intersex y queer (LGTBIQ) 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en todas las instancias, procesos, procedimientos y pr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cticas, tanto en cuestiones previas al proceso -administrativo o judicial-; en la determinaci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hechos y del derecho; en la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estad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stica que se produce, en los antecedentes y criterios que se utiliza, teni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ndose en consideraci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interseccionalidad de g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nero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de acuerdo a los principios de Yogyakarta.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asegurar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asistencia jur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 y la representaci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las mujeres y de los/as integrantes del colectivo LGTBIQ v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ctimas de los distintos tipos de violencias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en todas las causas -a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las no penales-, evitando la revictimizaci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n, simplificando la gesti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todos los tr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mites vinculados a las situaciones de violencias y en los casos de abuso sexual en la infancia.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 poner a disposici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en los organismos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blicos, judiciales o administrativos, un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sistema de cuidados, asistencia y apoyo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para que las mujeres que tengan personas a cargo -con dependencia absoluta o relativa de cuidados- pueden realizar todas las gestiones administrativas y judiciales necesarias para iniciar y sostener un proceso.</w:t>
      </w:r>
    </w:p>
    <w:p>
      <w:pPr>
        <w:pStyle w:val="Cuerpo"/>
        <w:spacing w:after="200"/>
        <w:ind w:left="720" w:right="44" w:firstLine="0"/>
        <w:jc w:val="both"/>
        <w:rPr>
          <w:rStyle w:val="Ninguno"/>
          <w:rFonts w:ascii="Roboto" w:cs="Roboto" w:hAnsi="Roboto" w:eastAsia="Roboto"/>
          <w:sz w:val="20"/>
          <w:szCs w:val="20"/>
        </w:rPr>
      </w:pPr>
    </w:p>
    <w:p>
      <w:pPr>
        <w:pStyle w:val="Cuerpo"/>
        <w:spacing w:after="200"/>
        <w:jc w:val="both"/>
        <w:rPr>
          <w:rStyle w:val="Ninguno"/>
          <w:rFonts w:ascii="Oswald Regular" w:cs="Oswald Regular" w:hAnsi="Oswald Regular" w:eastAsia="Oswald Regular"/>
          <w:outline w:val="0"/>
          <w:color w:val="060040"/>
          <w:sz w:val="28"/>
          <w:szCs w:val="28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es-ES_tradnl"/>
          <w14:textFill>
            <w14:solidFill>
              <w14:srgbClr w14:val="0181FF"/>
            </w14:solidFill>
          </w14:textFill>
        </w:rPr>
        <w:t>MIGRANTES Y REFUGIADOS/AS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adecuarse las normas nacionales, provinciales y municipales de modo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evitar el reconocimiento dispar de derechos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y las pr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cticas discriminatorias y/o estigmatizantes en raz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nacionalidad, la raza o del estatus migratorio de las personas.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agilizar y hacer previsibles los tr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mites de regularizaci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 xml:space="preserve">n migratoria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asegurando plazos razonables para la presentaci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documentos exigibles por parte de las personas migrantes, y eliminar barreras econ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micas para el inicio, mantenimiento y ejecuci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un proceso en sede administrativa o judicial para quienes no cuenten documentaci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nacional.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de-DE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 xml:space="preserve">Debe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evitarse el requerimiento obligatorio de documento nacional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extranjeras/os para peticionar ante el Estado, 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como para el ejercicio de derechos que requieran tr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mites o peticiones urgentes o reclamos de tipo laboral.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de-DE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 xml:space="preserve">Debe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reconocerse igualdad de derechos a los/as solicitantes de refugio y otorgarles documentaci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 v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lida para trabajar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. Adem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s, deben adoptarse y sistematizarse buenas pr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cticas basadas en el estatuto Internacional del Refugiado/a para los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procedimientos de determinaci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condici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refugiado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y establecer sistemas de protecci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 complementaria.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deben revertir los obst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culos que enfrentan los y las migrantes vinculados a los procesos de expulsi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de suspensi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o de cancelaci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radicaci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n. Para ello, se debe garantizar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la individualidad de los procesos, el acceso a int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rpretes, a la asistencia letrada, el derecho a recurrir la orden de expulsi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de suspensi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radicaci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(de manera gratuita). Especialmente, deben erradicarse las pr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cticas de expulsi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colectiva y de expulsi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fr-FR"/>
          <w14:textFill>
            <w14:solidFill>
              <w14:srgbClr w14:val="060040"/>
            </w14:solidFill>
          </w14:textFill>
        </w:rPr>
        <w:t>n expr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(para ello resulta necesaria la derogaci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DNU 70/2017, que modific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ó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las condiciones y posibilidades de acceso a la justicia de todas/os aquellas/os migrantes en relaci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 sus tr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mites migratorios)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deben promover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ticas tendientes a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identificaci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registro de personas ap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tridas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con el fin de garantizar el leg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timo acceso a su identidad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dica, especialmente en personas cuya nacionalidad no pueda ser determinada.</w:t>
      </w:r>
    </w:p>
    <w:p>
      <w:pPr>
        <w:pStyle w:val="Cuerpo"/>
        <w:spacing w:after="200"/>
        <w:ind w:left="720" w:right="44" w:firstLine="0"/>
        <w:jc w:val="both"/>
        <w:rPr>
          <w:rStyle w:val="Ninguno"/>
          <w:rFonts w:ascii="Roboto" w:cs="Roboto" w:hAnsi="Roboto" w:eastAsia="Roboto"/>
          <w:sz w:val="20"/>
          <w:szCs w:val="20"/>
        </w:rPr>
      </w:pPr>
    </w:p>
    <w:p>
      <w:pPr>
        <w:pStyle w:val="Cuerpo"/>
        <w:spacing w:before="200" w:after="200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es-ES_tradnl"/>
          <w14:textFill>
            <w14:solidFill>
              <w14:srgbClr w14:val="0181FF"/>
            </w14:solidFill>
          </w14:textFill>
        </w:rPr>
        <w:t>PUEBLOS IND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es-ES_tradnl"/>
          <w14:textFill>
            <w14:solidFill>
              <w14:srgbClr w14:val="0181FF"/>
            </w14:solidFill>
          </w14:textFill>
        </w:rPr>
        <w:t>Í</w:t>
      </w: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de-DE"/>
          <w14:textFill>
            <w14:solidFill>
              <w14:srgbClr w14:val="0181FF"/>
            </w14:solidFill>
          </w14:textFill>
        </w:rPr>
        <w:t xml:space="preserve">GENAS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reconocer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 institucionalidad ind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gena y los sistemas de justicia comunitaria, y el uso alternativo del derecho.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Deben suprimirse aquellos mecanismos dispuestos procesalmente que se constituyen como barreras para el acceso a la justicia en lo concerniente a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legitimaci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procesal de las comunidades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-especialmente en relaci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 a tem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como la posibilidad probatoria de la posesi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tradicional y ancestral-, reconociendo medios probatorios alternativos (como las carpetas del relevamiento dispuesto por la ley 26.160), y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disponiendo de procesos y mecanismos m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 flexibles para el acceso a la justicia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 las comunidades originarias.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asegurarse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el cumplimiento efectivo de la Ley 26.160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garantizando la conclusi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relevamiento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dico 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cnico catastral de las comunidades ind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genas que 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fue iniciado o concluido y la suspensi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efectiva de los desalojos ordenados judicialmente en territorios de comunidades ind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genas. Para esto se deber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remover aquellos procedimientos que sean incompatibles con la finalidad de la ley -por ejemplo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amparos a la simple tenencia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”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u otros procedimientos que permiten desalojos por 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 ejecutivas-, e incorporando en todas las jurisdicciones los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ndares fijados en el Convenio OIT 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°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169. Se deben establecer procedimientos 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pidos para la titulaci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colectiva de tierras.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establecerse un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procedimiento 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pido y expedito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para que las comunidades ind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genas puedan recurrir a instancias administrativas o judiciales, cuando se vulnera el derecho a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consulta y consentimiento libre, previo e informado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sobre proyectos que impacten en sus modos de vida.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elaborar e implementar un programa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facilitadoras/es culturales de las comunidades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para el acompa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amiento en los procesos y procedimientos judiciales y/o administrativos de personas pertenecientes a pueblos ind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genas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dar un tratamiento especial en los juicios en los que sea parte un/a ind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>gena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. A tal efecto,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se podr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requerir peritajes antropol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gicos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 solicitar a las autoridades o miembros de esa comunidad que informen sobre las normas propias de ese pueblo.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Reglamentar el Decreto 222/18 a fin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garantizar la inscripci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tard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a judicial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del nacimiento extempor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neo o domiciliario de personas pertenecientes a comunidades originarias.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  <w:br w:type="textWrapping"/>
      </w:r>
    </w:p>
    <w:p>
      <w:pPr>
        <w:pStyle w:val="Cuerpo"/>
        <w:spacing w:before="200" w:after="200"/>
        <w:jc w:val="both"/>
        <w:rPr>
          <w:rStyle w:val="Ninguno"/>
          <w:rFonts w:ascii="Oswald Regular" w:cs="Oswald Regular" w:hAnsi="Oswald Regular" w:eastAsia="Oswald Regular"/>
          <w:outline w:val="0"/>
          <w:color w:val="060040"/>
          <w:sz w:val="28"/>
          <w:szCs w:val="28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:lang w:val="de-DE"/>
          <w14:textFill>
            <w14:solidFill>
              <w14:srgbClr w14:val="0181FF"/>
            </w14:solidFill>
          </w14:textFill>
        </w:rPr>
        <w:t>PERSONAS PRIVADAS DE LIBERTAD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asegurar el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acceso a la asistencia t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cnica y representaci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 legal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a las personas privadas de la libertad en materia penal y no penal -especialmente para el efectivo ejercicio de sus derechos econ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micos sociales y culturales (DESC)-, y en todo procedimiento o sanciones administrativas iniciadas en el contexto de privaci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libertad. Deben aplicarse las recomendaciones que surgen de las Reglas de Mandela para el tratamiento digno de las personas en contexto de encierro.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garantizar el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acceso a la identidad de la persona procesada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previo a la judicializaci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acci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penal, promoviendo las acciones necesarias, sean administrativas y/o judiciales.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  <w:br w:type="textWrapping"/>
      </w:r>
    </w:p>
    <w:p>
      <w:pPr>
        <w:pStyle w:val="Cuerpo"/>
        <w:spacing w:before="200" w:after="200"/>
        <w:jc w:val="both"/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14:textFill>
            <w14:solidFill>
              <w14:srgbClr w14:val="0181FF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0181ff"/>
          <w:sz w:val="28"/>
          <w:szCs w:val="28"/>
          <w:u w:color="0181ff"/>
          <w:rtl w:val="0"/>
          <w14:textFill>
            <w14:solidFill>
              <w14:srgbClr w14:val="0181FF"/>
            </w14:solidFill>
          </w14:textFill>
        </w:rPr>
        <w:t>TRABAJADORES/AS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garantizar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plena aplicaci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del principio protectorio procesal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, a trav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de la implementaci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reformas procesales tales como la inclusi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medidas para mejor proveer, la factibilidad del fallo ultra petita, y el principio de carga din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mica de la prueba, con el fin de asegurar la igualdad real de las partes en base a los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ndares fijados por el derecho internacional del trabajo.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garantizarse en la justicia laboral un proceso expeditivo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evitando dilaciones innecesarias (a fin de revertir el hecho de que los trabajadores se vean constre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idos a renunciar parcialmente a sus derechos en los instancias de conciliaci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por la excesiva demora e incertidumbre en relaci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 la duraci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del proceso). A su vez, deben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unificarse los criterios en relaci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 la forma de calcular la actualizaci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indemnizaci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laboral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asegurando que las tasas de inter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desalienten el mantenimiento de deudas por cr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ditos laborales y que eviten la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rdida de poder adquisitivo de los montos indemnizatorios.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 ejecuci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sentencia debe admitir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ejecuciones parciales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 el supuesto de admisi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deuda por el demandado.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El derecho a la libertad y a la democracia sindical debe ser garantizado de manera expedita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por la justicia laboral, que debe canalizar de forma inmediata los reclamos de trabajadores y/o agrupaciones que demanden su derecho a participar de la vida interna de una asociaci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sindical, evitando tramitaciones administrativas previas obligatorias.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Deben adecuarse los c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digos procesales en lo concerniente a la competencia, de modo que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los/as trabajadoras/es del sector p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 puedan acceder a la jurisdicci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laboral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. Debe eliminarse el requisito de agotar la v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administrativa previa en todos los casos.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asegurarse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especial protecci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 las/os trabajadoras/es de la econom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a popular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y velar por el pleno reconocimiento en calidad de tales por parte de los distintos organismos estatales competentes.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sz w:val="20"/>
          <w:szCs w:val="20"/>
        </w:rPr>
      </w:pPr>
    </w:p>
    <w:p>
      <w:pPr>
        <w:pStyle w:val="Cuerpo"/>
        <w:spacing w:after="200" w:line="240" w:lineRule="auto"/>
        <w:rPr>
          <w:rStyle w:val="Ninguno"/>
          <w:rFonts w:ascii="Oswald Regular" w:cs="Oswald Regular" w:hAnsi="Oswald Regular" w:eastAsia="Oswald Regular"/>
          <w:sz w:val="36"/>
          <w:szCs w:val="36"/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PARA LA ASIGNACI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Ó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 xml:space="preserve">N DE PRESUPUESTO SUFICIENTE, 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  <w:br w:type="textWrapping"/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TRANSPARENTE Y NO DISCRECIONAL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 garantizar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presupuesto suficiente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para que los organismos de acceso a la justicia puedan desarrollar sus funciones de manera adecuada.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 definici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los presupuestos destinados a organismos aut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nomos con funciones espec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ficas en materia de acceso a la justicia debe responder 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criterios generales permanentes, evitando la discrecionalidad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. Se debe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limitar cualquier facultad para reasignar o restringir las partidas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presupuestarias aprobadas por ley.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deben implementar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pol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de transparencia y rendici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cuentas sobre los fondos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-presupuestarios y extrapresupuestarios- empleados en las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de acceso a la justicia, facilitando el control de la ciudadan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a. La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sobre la gesti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presupuestaria de los organismos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blicos vinculados con el acceso a la justicia debe ser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clara, detallada, desagregada, completa, accesible on line, producida y publicada de manera peri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dica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. Deben establecerse, a su vez, criterios que permitan desagregar la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para seguimiento y control presupuestario de fondos destinados espec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ficamente a promover derechos de grupos desaventajados.</w:t>
      </w:r>
    </w:p>
    <w:p>
      <w:pPr>
        <w:pStyle w:val="Cuerpo"/>
        <w:spacing w:after="200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after="200" w:line="240" w:lineRule="auto"/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</w:pP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PARA LA PRODUCCI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Ó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de-DE"/>
          <w14:textFill>
            <w14:solidFill>
              <w14:srgbClr w14:val="FC251A"/>
            </w14:solidFill>
          </w14:textFill>
        </w:rPr>
        <w:t>N DE INFORMACI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Ó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 xml:space="preserve">N Y 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14:textFill>
            <w14:solidFill>
              <w14:srgbClr w14:val="FC251A"/>
            </w14:solidFill>
          </w14:textFill>
        </w:rPr>
        <w:br w:type="textWrapping"/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EL MONITOREO DE LAS POL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:lang w:val="es-ES_tradnl"/>
          <w14:textFill>
            <w14:solidFill>
              <w14:srgbClr w14:val="FC251A"/>
            </w14:solidFill>
          </w14:textFill>
        </w:rPr>
        <w:t>Í</w:t>
      </w:r>
      <w:r>
        <w:rPr>
          <w:rStyle w:val="Ninguno"/>
          <w:rFonts w:ascii="Oswald Regular" w:cs="Oswald Regular" w:hAnsi="Oswald Regular" w:eastAsia="Oswald Regular"/>
          <w:outline w:val="0"/>
          <w:color w:val="fc251a"/>
          <w:sz w:val="36"/>
          <w:szCs w:val="36"/>
          <w:u w:color="fc251a"/>
          <w:rtl w:val="0"/>
          <w14:textFill>
            <w14:solidFill>
              <w14:srgbClr w14:val="FC251A"/>
            </w14:solidFill>
          </w14:textFill>
        </w:rPr>
        <w:t>TICAS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producir informaci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relevante, actualizada y desagregada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sobre la situaci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acceso a la justicia en el pa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s, generando diagn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sticos de conflictividad civil elaborados por Universidades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blicas, organismos estatales o agencias de investigaci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n. Se debe promover la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realizaci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 peri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 de Encuestas Permanentes de Necesidades Jur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dicas Insatisfechas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la poblaci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prioritariamente a cargo de las agencias de estad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sticas a nivel nacional y subnacional.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Las encuestas permanentes de necesidades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dicas insatisfechas deben ser la base de las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blicas en materia de acceso a la justicia.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stas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deben basarse en evidencias y establecerse con criterio anticipatorio y preventivo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acuerdo a los patrones de vulneraci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que surjan.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Debe establecerse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 obligatoriedad de un Sistema Nacional de Estad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sticas Judiciales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validado y consensuado con la sociedad civil y las Universidades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blicas, definiendo los eventos de notificaci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obligatoria (ENO), y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mejor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ndose el proceso de captura de datos de la gesti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 judicial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su almacenamiento, distribuci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an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lisis.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elaborar un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Sistema de Indicadores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que permita caracterizar y evaluar a nivel sist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mico el Poder Judicial, los Ministerios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blicos de la Defensa y a los organismos que brindan asistencia jur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dica, y monitorear y comparar la evoluci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en el tiempo de la gesti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judicial. Para ello ser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á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fundamental acordar un 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nimo de indicadores de estructura, de procesos, de resultados de acuerdo a los par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metros internacionales de medici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establecidos en el Protocolo de San Salvador y teniendo en cuenta adem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los indicadores de acceso a la justicia que el Estado est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á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obligado a reportar en virtud de los compromisos asumidos internacionalmente (Convenci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n de Belem do Par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, Objetivos de Desarrollo Sustentable -ODS-, entre otros). 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Debe adoptarse una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tica de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justicia abierta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que incluya la efectiva implementaci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aplicaci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la Ley de Acceso a la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 en el Poder Judicial,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fortaleciendo procesos de transparencia activa (de apertura y publicaci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datos). Se deben establecer pol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de comunicaci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 p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blica que garanticen el derecho a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completa y accesible tanto sobre los procesos judiciales en curso, la informaci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estad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stica existente, como sobre los mecanismos disponibles para acceder a la justicia.</w:t>
      </w:r>
    </w:p>
    <w:p>
      <w:pPr>
        <w:pStyle w:val="Cuerpo"/>
        <w:numPr>
          <w:ilvl w:val="0"/>
          <w:numId w:val="2"/>
        </w:numPr>
        <w:bidi w:val="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Se debe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compatibilizar de manera progresiva los distintos sistemas inform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ticos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 todas las jurisdicciones y niveles. A su vez, debe asegurarse en todas las jurisdicciones el pleno acceso al expediente digital para las personas. Se deben 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sistematizar y difundir buenas pr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cticas de pol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blicas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de acceso a la justicia con alcance federal.</w:t>
      </w:r>
    </w:p>
    <w:p>
      <w:pPr>
        <w:pStyle w:val="Cuerpo"/>
        <w:numPr>
          <w:ilvl w:val="0"/>
          <w:numId w:val="2"/>
        </w:numPr>
        <w:bidi w:val="0"/>
        <w:spacing w:after="200"/>
        <w:ind w:right="44"/>
        <w:jc w:val="both"/>
        <w:rPr>
          <w:rFonts w:ascii="Roboto" w:cs="Roboto" w:hAnsi="Roboto" w:eastAsia="Roboto"/>
          <w:sz w:val="20"/>
          <w:szCs w:val="20"/>
          <w:rtl w:val="0"/>
          <w:lang w:val="es-ES_tradnl"/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 debe implementar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un sistema de f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b w:val="1"/>
          <w:bCs w:val="1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cil acceso para el proceso de seguimiento del cumplimiento de las recomendaciones en materia de acceso a la justicia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adoptadas por 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rganos internacionales creados en virtud de tratados de DDHH y avanzar en la coordinaci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un mecanismo que permita el control de la ejecuci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a nivel nacional, provincial y local de las decisiones de los organismos regionales y universales de Derechos humanos.</w:t>
      </w:r>
    </w:p>
    <w:p>
      <w:pPr>
        <w:pStyle w:val="Cuerpo"/>
        <w:spacing w:line="240" w:lineRule="auto"/>
        <w:ind w:right="44"/>
        <w:jc w:val="both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spacing w:line="240" w:lineRule="auto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12"/>
          <w:szCs w:val="12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12"/>
          <w:szCs w:val="12"/>
          <w:u w:color="060040"/>
          <w14:textFill>
            <w14:solidFill>
              <w14:srgbClr w14:val="060040"/>
            </w14:solidFill>
          </w14:textFill>
        </w:rPr>
        <w:drawing xmlns:a="http://schemas.openxmlformats.org/drawingml/2006/main">
          <wp:inline distT="0" distB="0" distL="0" distR="0">
            <wp:extent cx="5772151" cy="8848726"/>
            <wp:effectExtent l="0" t="0" r="0" b="0"/>
            <wp:docPr id="1073741827" name="officeArt object" descr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g" descr="image3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739" t="7586" r="11091" b="546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1" cy="88487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spacing w:line="240" w:lineRule="auto"/>
        <w:ind w:right="44"/>
        <w:jc w:val="both"/>
        <w:rPr>
          <w:rStyle w:val="Ninguno"/>
          <w:rFonts w:ascii="Roboto" w:cs="Roboto" w:hAnsi="Roboto" w:eastAsia="Roboto"/>
          <w:outline w:val="0"/>
          <w:color w:val="060040"/>
          <w:sz w:val="12"/>
          <w:szCs w:val="12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jc w:val="both"/>
        <w:rPr>
          <w:rStyle w:val="Ninguno"/>
          <w:rFonts w:ascii="Rubik Black" w:cs="Rubik Black" w:hAnsi="Rubik Black" w:eastAsia="Rubik Black"/>
          <w:outline w:val="0"/>
          <w:color w:val="060040"/>
          <w:sz w:val="24"/>
          <w:szCs w:val="24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</w:rPr>
        <w:drawing xmlns:a="http://schemas.openxmlformats.org/drawingml/2006/main"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line">
              <wp:posOffset>228600</wp:posOffset>
            </wp:positionV>
            <wp:extent cx="6030001" cy="711200"/>
            <wp:effectExtent l="0" t="0" r="0" b="0"/>
            <wp:wrapSquare wrapText="bothSides" distL="114300" distR="114300" distT="114300" distB="114300"/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001" cy="71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spacing w:line="240" w:lineRule="auto"/>
        <w:ind w:right="44"/>
        <w:sectPr>
          <w:headerReference w:type="default" r:id="rId6"/>
          <w:headerReference w:type="first" r:id="rId7"/>
          <w:footerReference w:type="default" r:id="rId8"/>
          <w:footerReference w:type="first" r:id="rId9"/>
          <w:pgSz w:w="11900" w:h="16840" w:orient="portrait"/>
          <w:pgMar w:top="1440" w:right="973" w:bottom="1440" w:left="1440" w:header="0" w:footer="720"/>
          <w:pgNumType w:start="0"/>
          <w:titlePg w:val="1"/>
          <w:bidi w:val="0"/>
        </w:sect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Laura Pautassi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Abogada, ELA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Silvina Ram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rez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Especialista en Pueblos Ind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genas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Cristina Cravino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INFOHABITAT ICO/UNGS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>Francisco Verbic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Abogado y profesor de derecho procesal de la Universidad nacional de La Plata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Cl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nica Jur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 derechos Humanos, FCJS - UNLP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Jos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é 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Mar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a Martocci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Rafael Gentili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Presidente del Laboratorio de Pol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ticas P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 xml:space="preserve">blicas (LPP) 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Mar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Jos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é 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Lubertino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Asociaci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Ciudadana por los Derechos Humanos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Walter Martello</w:t>
      </w: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sz w:val="20"/>
          <w:szCs w:val="20"/>
          <w:rtl w:val="0"/>
          <w:lang w:val="es-ES_tradnl"/>
        </w:rPr>
        <w:t>Centro de Estudios Pensando en Generar Pol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pt-PT"/>
        </w:rPr>
        <w:t>ticas P</w:t>
      </w:r>
      <w:r>
        <w:rPr>
          <w:rStyle w:val="Ninguno"/>
          <w:sz w:val="20"/>
          <w:szCs w:val="20"/>
          <w:rtl w:val="0"/>
        </w:rPr>
        <w:t>ú</w:t>
      </w:r>
      <w:r>
        <w:rPr>
          <w:rStyle w:val="Ninguno"/>
          <w:sz w:val="20"/>
          <w:szCs w:val="20"/>
          <w:rtl w:val="0"/>
          <w:lang w:val="pt-PT"/>
        </w:rPr>
        <w:t>blicas (CEPEGEP)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Maximiliano Estigarribi</w:t>
      </w:r>
      <w:r>
        <w:rPr>
          <w:rStyle w:val="Ninguno"/>
          <w:rFonts w:ascii="Rubik" w:cs="Rubik" w:hAnsi="Rubik" w:eastAsia="Rubik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a 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Encuentro de Entidades No Gubernamentales para el Desarrollo - EENGD 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Pedro Sisti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Cl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nica Jur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 de Inter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s P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blico, Facultad de Ciencias Jur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dicas y Sociales de la UNLP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Gabriela Santuccione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Abogada, especialista tem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tica de discapacidad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Agustina Palacios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  <w:br w:type="textWrapping"/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Investigadora Adjunta CONICET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16"/>
          <w:szCs w:val="16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Ctro. de Investigaci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y Docencia en DH 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fr-FR"/>
          <w14:textFill>
            <w14:solidFill>
              <w14:srgbClr w14:val="060040"/>
            </w14:solidFill>
          </w14:textFill>
        </w:rPr>
        <w:t>A. Moreau de Justo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, Ftad. Derecho, Universidad Nac. de Mar del Plata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Mariano Heller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Consejo de la Magistratura CABA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Elizabeth G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mez Alcorta 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Abogada, Movimiento Profesionales para los pueblos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Pablo javier Mart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nez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Soci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logo, responsable 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rea gesti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informaci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- Dir. de Acceso a la Justicia, MPF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Paola Cyment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Especialista en problem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de Migrantes y refugiados/as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Epu Lafken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Comunidad Mapuche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Ra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l Coria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Delegados villa 1-11-14, CABA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Asociaci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Vecinal Barrio San Nicolas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Sociedad de Fomento Isidoro Iriarte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Uni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Usuarios y Consumidores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Norma Ramos D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az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 xml:space="preserve">Rossana Aguero 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Roc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 Luque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Claudia Esp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nola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Susana Prato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>Ver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nica Jerez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 xml:space="preserve">Julia Britez 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Elva Balmaceda 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Cecilia Villalba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>Andrea Zuleta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Marta Oporto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n-US"/>
          <w14:textFill>
            <w14:solidFill>
              <w14:srgbClr w14:val="060040"/>
            </w14:solidFill>
          </w14:textFill>
        </w:rPr>
        <w:t>Romina Mayo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Zulma Noem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í 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Santill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Promotora de acceso a la justicia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Fabiana Isa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Facultad de Psicolog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a, UBA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16"/>
          <w:szCs w:val="16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Coord. Gral. del Programa de Extensi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Universitaria de "Atenci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nl-NL"/>
          <w14:textFill>
            <w14:solidFill>
              <w14:srgbClr w14:val="060040"/>
            </w14:solidFill>
          </w14:textFill>
        </w:rPr>
        <w:t>n de ni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ubik" w:cs="Rubik" w:hAnsi="Rubik" w:eastAsia="Rubik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os/as privados del cuidado parental"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Carina Morillo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Presidente de la Fundaci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Brincar por un autismo feliz. CABA.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Equipo de trabajo e Investigaci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Social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 xml:space="preserve"> -ETIS -</w:t>
      </w: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Cristina Testa</w:t>
      </w: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>Psic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loga, ADESAM</w:t>
      </w: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Lucas P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rez Fern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ndez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Ser Ciudadano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Comisi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Apoyo al Hospital de D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en Salud Mental de Traslasierra</w:t>
      </w:r>
    </w:p>
    <w:p>
      <w:pPr>
        <w:pStyle w:val="Cuerpo"/>
        <w:widowControl w:val="0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</w:p>
    <w:p>
      <w:pPr>
        <w:pStyle w:val="Cuerpo"/>
        <w:widowControl w:val="0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M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nica Hayd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fr-FR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e Pi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eiro</w:t>
      </w:r>
    </w:p>
    <w:p>
      <w:pPr>
        <w:pStyle w:val="Cuerpo"/>
        <w:widowControl w:val="0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Centro de Protecci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Familiar de La Falda C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rdoba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Claudio Daniel Boada</w:t>
      </w:r>
    </w:p>
    <w:p>
      <w:pPr>
        <w:pStyle w:val="Cuerpo"/>
        <w:widowControl w:val="0"/>
        <w:spacing w:line="240" w:lineRule="auto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Abogado de Uni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Usuarios y Consumidores</w:t>
      </w: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da-DK"/>
          <w14:textFill>
            <w14:solidFill>
              <w14:srgbClr w14:val="060040"/>
            </w14:solidFill>
          </w14:textFill>
        </w:rPr>
        <w:t>Maria Karina Lucero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Santiago Mauri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Aldana kolaczynski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Pamela Rouanet</w:t>
      </w: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>Ver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nica Jaramillo Fonnegra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Abogada, investigadora Instituto de Justicia y Derechos Humanos UNla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Gabriela Lachowicz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Coordinadora ReC Programa de Recuperaci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en Comunidad. Asociaci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Civil sin fines de lucro Proyecto Suma</w:t>
      </w:r>
    </w:p>
    <w:p>
      <w:pPr>
        <w:pStyle w:val="Cuerpo"/>
        <w:widowControl w:val="0"/>
        <w:spacing w:line="240" w:lineRule="auto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Eduardo Federico Baeza</w:t>
      </w:r>
    </w:p>
    <w:p>
      <w:pPr>
        <w:pStyle w:val="Cuerpo"/>
        <w:widowControl w:val="0"/>
        <w:spacing w:line="240" w:lineRule="auto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Asociaci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de Defensa del Asegurado, Consumidores y Usuarios (ADACU) </w:t>
      </w: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Horacio Luis Bersten</w:t>
      </w:r>
    </w:p>
    <w:p>
      <w:pPr>
        <w:pStyle w:val="Cuerpo"/>
        <w:widowControl w:val="0"/>
        <w:spacing w:line="240" w:lineRule="auto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Abogado, especialista en defensa del consumidor. CABA</w:t>
      </w:r>
    </w:p>
    <w:p>
      <w:pPr>
        <w:pStyle w:val="Cuerpo"/>
        <w:widowControl w:val="0"/>
        <w:spacing w:line="240" w:lineRule="auto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Patricia In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s Benedetti</w:t>
      </w:r>
      <w:r>
        <w:rPr>
          <w:rStyle w:val="Ninguno"/>
          <w:rFonts w:ascii="Rubik" w:cs="Rubik" w:hAnsi="Rubik" w:eastAsia="Rubik"/>
          <w:b w:val="1"/>
          <w:bCs w:val="1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Profesora titular, Univ. de Mor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n. Facultad de Filosof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a, Cs.de la Educaci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Humanidades</w:t>
      </w: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Estela Tramontini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Abogada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Romina Pi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eyro</w:t>
      </w: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Asistente Juridico Notarial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Juan Ignacio Azcune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Abogado. La Plata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Yamila Comes</w:t>
      </w:r>
    </w:p>
    <w:p>
      <w:pPr>
        <w:pStyle w:val="Cuerpo"/>
        <w:widowControl w:val="0"/>
        <w:rPr>
          <w:rStyle w:val="Ninguno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 xml:space="preserve"> Psic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loga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pt-PT"/>
          <w14:textFill>
            <w14:solidFill>
              <w14:srgbClr w14:val="060040"/>
            </w14:solidFill>
          </w14:textFill>
        </w:rPr>
        <w:t>Eduardo Basz</w:t>
      </w:r>
    </w:p>
    <w:p>
      <w:pPr>
        <w:pStyle w:val="Cuerpo"/>
        <w:widowControl w:val="0"/>
        <w:spacing w:line="240" w:lineRule="auto"/>
        <w:rPr>
          <w:rStyle w:val="Ninguno"/>
          <w:rFonts w:ascii="Rubik" w:cs="Rubik" w:hAnsi="Rubik" w:eastAsia="Rubi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Celina Peralta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spacing w:line="240" w:lineRule="auto"/>
        <w:ind w:right="44"/>
        <w:rPr>
          <w:rStyle w:val="Ninguno"/>
          <w:rFonts w:ascii="Rubik" w:cs="Rubik" w:hAnsi="Rubik" w:eastAsia="Rubik"/>
          <w:b w:val="1"/>
          <w:bCs w:val="1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Renato Javier Berrino</w:t>
      </w: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Alejandro Zamora</w:t>
      </w:r>
    </w:p>
    <w:p>
      <w:pPr>
        <w:pStyle w:val="Cuerpo"/>
        <w:spacing w:line="240" w:lineRule="auto"/>
        <w:ind w:right="44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Andrea Bonzini</w:t>
      </w: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24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  <w:sectPr>
          <w:headerReference w:type="default" r:id="rId10"/>
          <w:pgSz w:w="11900" w:h="16840" w:orient="portrait"/>
          <w:pgMar w:top="1440" w:right="973" w:bottom="1440" w:left="1440" w:header="0" w:footer="720"/>
          <w:cols w:num="2" w:equalWidth="0">
            <w:col w:w="4381" w:space="719"/>
            <w:col w:w="4381" w:space="0"/>
          </w:cols>
          <w:bidi w:val="0"/>
        </w:sect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14:textFill>
            <w14:solidFill>
              <w14:srgbClr w14:val="060040"/>
            </w14:solidFill>
          </w14:textFill>
        </w:rPr>
        <w:t>Mar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rtl w:val="0"/>
          <w:lang w:val="it-IT"/>
          <w14:textFill>
            <w14:solidFill>
              <w14:srgbClr w14:val="060040"/>
            </w14:solidFill>
          </w14:textFill>
        </w:rPr>
        <w:t>a Ducolms</w:t>
      </w: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r>
    </w:p>
    <w:p>
      <w:pPr>
        <w:pStyle w:val="Cuerpo"/>
        <w:widowControl w:val="0"/>
        <w:spacing w:line="360" w:lineRule="auto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</w:p>
    <w:p>
      <w:pPr>
        <w:pStyle w:val="Cuerpo"/>
        <w:widowControl w:val="0"/>
        <w:spacing w:line="360" w:lineRule="auto"/>
        <w:jc w:val="center"/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ubik Black" w:cs="Rubik Black" w:hAnsi="Rubik Black" w:eastAsia="Rubik Black"/>
          <w:outline w:val="0"/>
          <w:color w:val="060040"/>
          <w:sz w:val="20"/>
          <w:szCs w:val="20"/>
          <w:u w:color="060040"/>
          <w:shd w:val="clear" w:color="auto" w:fill="9fc5e8"/>
          <w:rtl w:val="0"/>
          <w:lang w:val="es-ES_tradnl"/>
          <w14:textFill>
            <w14:solidFill>
              <w14:srgbClr w14:val="060040"/>
            </w14:solidFill>
          </w14:textFill>
        </w:rPr>
        <w:t xml:space="preserve">Para adherir al Acuerdo por el Acceso a la Justicia </w:t>
      </w:r>
    </w:p>
    <w:p>
      <w:pPr>
        <w:pStyle w:val="Cuerpo"/>
        <w:widowControl w:val="0"/>
        <w:spacing w:line="360" w:lineRule="auto"/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"https://porelaccesoalajusticia.org/acuerdo"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porelaccesoalajusticia.org/acuerdo</w:t>
      </w:r>
      <w:r>
        <w:rPr/>
        <w:fldChar w:fldCharType="end" w:fldLock="0"/>
      </w:r>
    </w:p>
    <w:sectPr>
      <w:type w:val="continuous"/>
      <w:pgSz w:w="11900" w:h="16840" w:orient="portrait"/>
      <w:pgMar w:top="1440" w:right="973" w:bottom="1440" w:left="144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boto Condensed">
    <w:charset w:val="00"/>
    <w:family w:val="roman"/>
    <w:pitch w:val="default"/>
  </w:font>
  <w:font w:name="Helvetica Neue">
    <w:charset w:val="00"/>
    <w:family w:val="roman"/>
    <w:pitch w:val="default"/>
  </w:font>
  <w:font w:name="Roboto">
    <w:charset w:val="00"/>
    <w:family w:val="roman"/>
    <w:pitch w:val="default"/>
  </w:font>
  <w:font w:name="Rubik">
    <w:charset w:val="00"/>
    <w:family w:val="roman"/>
    <w:pitch w:val="default"/>
  </w:font>
  <w:font w:name="Oswald Regular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Rubik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right"/>
    </w:pPr>
    <w:r>
      <w:rPr>
        <w:rStyle w:val="Ninguno"/>
        <w:rFonts w:ascii="Roboto Condensed" w:cs="Roboto Condensed" w:hAnsi="Roboto Condensed" w:eastAsia="Roboto Condensed"/>
        <w:b w:val="1"/>
        <w:bCs w:val="1"/>
        <w:outline w:val="0"/>
        <w:color w:val="060040"/>
        <w:u w:color="060040"/>
        <w:rtl w:val="0"/>
        <w14:textFill>
          <w14:solidFill>
            <w14:srgbClr w14:val="060040"/>
          </w14:solidFill>
        </w14:textFill>
      </w:rPr>
      <w:fldChar w:fldCharType="begin" w:fldLock="0"/>
    </w:r>
    <w:r>
      <w:rPr>
        <w:rStyle w:val="Ninguno"/>
        <w:rFonts w:ascii="Roboto Condensed" w:cs="Roboto Condensed" w:hAnsi="Roboto Condensed" w:eastAsia="Roboto Condensed"/>
        <w:b w:val="1"/>
        <w:bCs w:val="1"/>
        <w:outline w:val="0"/>
        <w:color w:val="060040"/>
        <w:u w:color="060040"/>
        <w:rtl w:val="0"/>
        <w14:textFill>
          <w14:solidFill>
            <w14:srgbClr w14:val="060040"/>
          </w14:solidFill>
        </w14:textFill>
      </w:rPr>
      <w:instrText xml:space="preserve"> PAGE </w:instrText>
    </w:r>
    <w:r>
      <w:rPr>
        <w:rStyle w:val="Ninguno"/>
        <w:rFonts w:ascii="Roboto Condensed" w:cs="Roboto Condensed" w:hAnsi="Roboto Condensed" w:eastAsia="Roboto Condensed"/>
        <w:b w:val="1"/>
        <w:bCs w:val="1"/>
        <w:outline w:val="0"/>
        <w:color w:val="060040"/>
        <w:u w:color="060040"/>
        <w:rtl w:val="0"/>
        <w14:textFill>
          <w14:solidFill>
            <w14:srgbClr w14:val="060040"/>
          </w14:solidFill>
        </w14:textFill>
      </w:rPr>
      <w:fldChar w:fldCharType="separate" w:fldLock="0"/>
    </w:r>
    <w:r>
      <w:rPr>
        <w:rStyle w:val="Ninguno"/>
        <w:rFonts w:ascii="Roboto Condensed" w:cs="Roboto Condensed" w:hAnsi="Roboto Condensed" w:eastAsia="Roboto Condensed"/>
        <w:b w:val="1"/>
        <w:bCs w:val="1"/>
        <w:outline w:val="0"/>
        <w:color w:val="060040"/>
        <w:u w:color="060040"/>
        <w:rtl w:val="0"/>
        <w14:textFill>
          <w14:solidFill>
            <w14:srgbClr w14:val="060040"/>
          </w14:solidFill>
        </w14:textFill>
      </w:rPr>
    </w:r>
    <w:r>
      <w:rPr>
        <w:rStyle w:val="Ninguno"/>
        <w:rFonts w:ascii="Roboto Condensed" w:cs="Roboto Condensed" w:hAnsi="Roboto Condensed" w:eastAsia="Roboto Condensed"/>
        <w:b w:val="1"/>
        <w:bCs w:val="1"/>
        <w:outline w:val="0"/>
        <w:color w:val="060040"/>
        <w:u w:color="060040"/>
        <w:rtl w:val="0"/>
        <w14:textFill>
          <w14:solidFill>
            <w14:srgbClr w14:val="060040"/>
          </w14:solidFill>
        </w14:textFill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Cuerpo"/>
        <w:spacing w:line="240" w:lineRule="auto"/>
        <w:jc w:val="both"/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/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Entre las iniciativas que han dado pasos en dicho sentido en el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ltimo tiempo se encuentran los Centros de acceso a Justicia (Ministerio de Justicia y Derechos Humanos de la Naci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n, Defensor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General de la Naci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y Ministerio 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 de la Defensa CABA), las Agencias Territoriales de Acceso a la Justicia -ATAJO- (MInisterio 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blico Fiscal), la publicaci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Gu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 de Prestadores de Servicios Jur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dicos Gratuitos de la Ciudad (Procuraci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General de la Ciudad de Buenos Aires), la formaci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de la Red de Prestadores de Asistencia Jur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dica Gratuita de la Ciudad de Buenos Aires, y la reciente apertura del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Hospital de Derechos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”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14:textFill>
            <w14:solidFill>
              <w14:srgbClr w14:val="060040"/>
            </w14:solidFill>
          </w14:textFill>
        </w:rPr>
        <w:t>(MJyDHN).</w:t>
      </w:r>
    </w:p>
  </w:footnote>
  <w:footnote w:id="2">
    <w:p>
      <w:pPr>
        <w:pStyle w:val="Cuerpo"/>
        <w:spacing w:line="240" w:lineRule="auto"/>
        <w:jc w:val="both"/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/>
      </w:r>
      <w:r>
        <w:rPr>
          <w:rStyle w:val="Ninguno"/>
          <w:outline w:val="0"/>
          <w:color w:val="060040"/>
          <w:sz w:val="18"/>
          <w:szCs w:val="18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14:textFill>
            <w14:solidFill>
              <w14:srgbClr w14:val="060040"/>
            </w14:solidFill>
          </w14:textFill>
        </w:rPr>
        <w:t>A trav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s de seis encuentros, con el formato de mesas redondas de discusi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n horizontal, en torno a los siguientes temas: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Acceso a la Justicia y Villas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14:textFill>
            <w14:solidFill>
              <w14:srgbClr w14:val="060040"/>
            </w14:solidFill>
          </w14:textFill>
        </w:rPr>
        <w:t xml:space="preserve">;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Acceso a la Justicia y G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nero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14:textFill>
            <w14:solidFill>
              <w14:srgbClr w14:val="060040"/>
            </w14:solidFill>
          </w14:textFill>
        </w:rPr>
        <w:t xml:space="preserve">;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Acceso a la Justicia y Discapacidad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14:textFill>
            <w14:solidFill>
              <w14:srgbClr w14:val="060040"/>
            </w14:solidFill>
          </w14:textFill>
        </w:rPr>
        <w:t xml:space="preserve">;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Acceso a la Justi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cia y m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todos alternativos de resoluci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de conflictos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 xml:space="preserve">”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 xml:space="preserve">(Jornada Internacional organizada por la UNLA),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Acceso a la Justicia y Defensa 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pt-PT"/>
          <w14:textFill>
            <w14:solidFill>
              <w14:srgbClr w14:val="060040"/>
            </w14:solidFill>
          </w14:textFill>
        </w:rPr>
        <w:t>blica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 xml:space="preserve">; y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Hacia una Agenda Com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Participativa para el Acceso a la Justicia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. Convocaron: Asociaci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Civil por la Igualdad y la Justicia (ACIJ); Namati; Defensor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 General de la Naci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it-IT"/>
          <w14:textFill>
            <w14:solidFill>
              <w14:srgbClr w14:val="060040"/>
            </w14:solidFill>
          </w14:textFill>
        </w:rPr>
        <w:t>n (Ministerio 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blico de la Defensa); Direcci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General de Acceso a la Justicia del Ministerio 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blico Fiscal de la Naci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pt-PT"/>
          <w14:textFill>
            <w14:solidFill>
              <w14:srgbClr w14:val="060040"/>
            </w14:solidFill>
          </w14:textFill>
        </w:rPr>
        <w:t>n (ATAJO); Subsecretar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 de Acceso a la Justicia del Ministerio de Justicia y DDHH de la Naci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it-IT"/>
          <w14:textFill>
            <w14:solidFill>
              <w14:srgbClr w14:val="060040"/>
            </w14:solidFill>
          </w14:textFill>
        </w:rPr>
        <w:t>n; Ministerio 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blico de la Defensa de la Ciudad de Buenos Aires; Instituto de Estudios Comparados en Ciencias Penales y Sociales (INECIP); Asociaci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por los Derechos Civiles (ADC); Centro de Estudios Legales y Sociales (CELS); Poder Ciudadano; Instituto de Justicia y Derechos Humanos (UNLA); Techo Argentina; Habitar Argentina; Cerrando Brechas; Amnist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 Internacional; Equipo Latinoamericano de Justicia y G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nero (ELA);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14:textFill>
            <w14:solidFill>
              <w14:srgbClr w14:val="060040"/>
            </w14:solidFill>
          </w14:textFill>
        </w:rPr>
        <w:t>n SIGLO XXI; Comisi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Argentina para los Refugiados y Migrantes (CAREF);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Mujeres en Igualdad (MEI);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para Estudio e Investigaci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de la Mujer (FEIM); Grupo Art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culo 24; Red por los Derechos de las Personas con Discapacidad (REDI). A su vez, las actividades se llevaron a cabo con el apoyo de la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14:textFill>
            <w14:solidFill>
              <w14:srgbClr w14:val="060040"/>
            </w14:solidFill>
          </w14:textFill>
        </w:rPr>
        <w:t>n Tinker.</w:t>
      </w:r>
    </w:p>
  </w:footnote>
  <w:footnote w:id="3">
    <w:p>
      <w:pPr>
        <w:pStyle w:val="Cuerpo"/>
        <w:spacing w:line="240" w:lineRule="auto"/>
        <w:jc w:val="both"/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/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Las m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esas Federales abordaron las tem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pt-PT"/>
          <w14:textFill>
            <w14:solidFill>
              <w14:srgbClr w14:val="060040"/>
            </w14:solidFill>
          </w14:textFill>
        </w:rPr>
        <w:t xml:space="preserve">ticas de: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Acceso a la Justicia y Pueblos Ind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pt-PT"/>
          <w14:textFill>
            <w14:solidFill>
              <w14:srgbClr w14:val="060040"/>
            </w14:solidFill>
          </w14:textFill>
        </w:rPr>
        <w:t>genas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14:textFill>
            <w14:solidFill>
              <w14:srgbClr w14:val="060040"/>
            </w14:solidFill>
          </w14:textFill>
        </w:rPr>
        <w:t xml:space="preserve">;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Acceso a la Justicia en la ni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ñ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ez y adolescencia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14:textFill>
            <w14:solidFill>
              <w14:srgbClr w14:val="060040"/>
            </w14:solidFill>
          </w14:textFill>
        </w:rPr>
        <w:t xml:space="preserve">;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Acceso a la Justicia Ambiental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”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. Fueron convocadas por: ACIJ, NAMATI, ANDHES, INECIP, Direcci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Nacional de Acceso a la Justicia del Ministerio de Justicia y Derechos Humanos de la Naci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n, Centro de Acceso a Justicia de Tucum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(CAJ); Colectivo de Derechos de Infancia y adolescencia, Observatorio de derechos Humanos de la Universidad Nacional de C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rdoba, Servicio Habitacional y de acci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social (SEHAS); Direcci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Nacional de Acceso a la Justicia del Ministerio de Justicia y Derechos Humanos de la Naci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n; Centro de Acceso a la Justicia de C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rdoba (CAJ); OIKOS Red Ambiental, XUMEK,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para el Desarrollo de Pol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ticas Sustentables (FUNDEPS),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ambiente y recursos naturales (FARN), Federaci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Argentina de Espeleolog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 (FAE), Centro de Estudios Prospectivos (CEP), Poder Judicial de Mendoza, Legislatura de Mendoza, Gobierno de Mendoza, Universidad de Congreso (UC). A su vez, las actividades se llevaron a cabo con el apoyo de la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14:textFill>
            <w14:solidFill>
              <w14:srgbClr w14:val="060040"/>
            </w14:solidFill>
          </w14:textFill>
        </w:rPr>
        <w:t>n Tinker.</w:t>
      </w:r>
    </w:p>
  </w:footnote>
  <w:footnote w:id="4">
    <w:p>
      <w:pPr>
        <w:pStyle w:val="Cuerpo"/>
        <w:spacing w:line="240" w:lineRule="auto"/>
        <w:jc w:val="both"/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/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Las organizaciones que suscriben la Declaraci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de-DE"/>
          <w14:textFill>
            <w14:solidFill>
              <w14:srgbClr w14:val="060040"/>
            </w14:solidFill>
          </w14:textFill>
        </w:rPr>
        <w:t xml:space="preserve">n son: ACIJ,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Poder Ciudadano, ANDHES (Argentina), Comit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é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 xml:space="preserve">de desarrollo comunitario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“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Los Pinos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 xml:space="preserve">”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(Ecuador) Asylum Access (Ecuador);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regional de asesor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 en derechos Humanos (INREH; Ecuador); ASCALA (Rep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blica Dominicana); Grupo Monitoreo Independiente del Salvador (GMIES, El Salvador); Asociaci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por los derechos Humanos (APRODEH, Per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), Asociaci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Paz y Esperanza (PER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) Centro de estudios para la Equidad y Gobernanza en los sistemas de salud (Guatemala), FIMA (Chile) Techo (Chile); Themis (Brasil); Art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culo 19 (M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xico),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para la Justicia y el estado democr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tico de derecho (M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n-US"/>
          <w14:textFill>
            <w14:solidFill>
              <w14:srgbClr w14:val="060040"/>
            </w14:solidFill>
          </w14:textFill>
        </w:rPr>
        <w:t>xico); Mexican Center of Environmental Law (CEMDA, M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xico),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para la justicia y el estado democr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tico de derecho (El Salvador); Construir (Bolivia); Habitat for humanity (Bolivia); International Senior Lawyers Project (Colombia), Instituto Latinoamericano para una Sociedad y Un derecho Alternativo (ILSA, Colombia); Coordinadora por los derechos de la Infancia y la Adolescencia (CDIA, Paraguay).</w:t>
      </w:r>
    </w:p>
  </w:footnote>
  <w:footnote w:id="5">
    <w:p>
      <w:pPr>
        <w:pStyle w:val="Cuerpo"/>
        <w:spacing w:line="240" w:lineRule="auto"/>
        <w:jc w:val="both"/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/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 xml:space="preserve"> Las versiones preliminares se socializaron con organizaciones de la sociedad civil de distintas provincias, especialistas, comunidades ind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genas, ONG conformadas por familiares y/o personas con discapacidad, ONG tem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pt-PT"/>
          <w14:textFill>
            <w14:solidFill>
              <w14:srgbClr w14:val="060040"/>
            </w14:solidFill>
          </w14:textFill>
        </w:rPr>
        <w:t>ticas (g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nero, migrantes, trabajadores/as, etc.) y funcionarias/os 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blicos. El documento fue presentado y discutido el 15/11/18 en un evento 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blico en el que expusieron m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ltiples actores estatales y no estatales. Entre ellos: Asociaci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Civil por la Igualdad y la Justicia (ACIJ); Centro de Estudios legales y sociales (CELS); Instituto de Ciencias Penales (INECIP); Observatorio del derecho a la Ciudad; Instituto de Justicia y derechos Humanos Eduardo Luis Duhalde Universidad Nacional de Lan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s (UNLA);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Ambiente y Recursos Naturales (FARN); Sembrando Juntos, Referentes barriales y promotoras de acceso a la justicia de Villa Inflamable; Amnist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 Internacional;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Microjusticia; Centro para una Justicia Igualitaria y Popular (CEJIP);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SUR; FUNDEPS; Cl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nica de Inter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14:textFill>
            <w14:solidFill>
              <w14:srgbClr w14:val="060040"/>
            </w14:solidFill>
          </w14:textFill>
        </w:rPr>
        <w:t>s 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blico de la Universidad de la Plata; Fundaci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para el Estudio e Investigaci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de la Mujer (FEIM), Equipo Latinoamericano de justicia y g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nero (ELA); especialistas en Migraciones, Abogadas y abogados del nordeste argentino en Derechos Humanos y estudios sociales (ANDHES); Asociaci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para la promoci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y protecci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de los derechos humanos (Xumek Mendoza); Asociaci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de Defensa de los asegurados, consumidores y usuarios (ADACU); y funcionarias/os de los siguientes organismos 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pt-PT"/>
          <w14:textFill>
            <w14:solidFill>
              <w14:srgbClr w14:val="060040"/>
            </w14:solidFill>
          </w14:textFill>
        </w:rPr>
        <w:t>blicos: Secretar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 General de Pol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tica Institucional de la Defensor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 general de la Naci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(DGN), Direcci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de Acceso a la Justicia de la Procuraci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General de la Naci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(PGN); Direcci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Nacional de Promoci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para el Acceso a la Justicia y Programa Nacional de Asistencia para las Personas con Discapacidad en sus Relaciones con la Administraci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de Justicia (ADAJUS) del Ministerio de Justicia y Derechos Humanos de la Naci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n; Secretaria Judicial del Ministerio P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ú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blico de la Defensa de la Ciudad Aut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pt-PT"/>
          <w14:textFill>
            <w14:solidFill>
              <w14:srgbClr w14:val="060040"/>
            </w14:solidFill>
          </w14:textFill>
        </w:rPr>
        <w:t>noma de Buenos Aires; Procuraci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General de la Ciudad de Buenos Aires; Consejo de la Magistratura de la Ciudad de Buenos Aires.</w:t>
      </w:r>
    </w:p>
    <w:p>
      <w:pPr>
        <w:pStyle w:val="Cuerpo"/>
        <w:spacing w:line="240" w:lineRule="auto"/>
        <w:jc w:val="both"/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14:textFill>
            <w14:solidFill>
              <w14:srgbClr w14:val="060040"/>
            </w14:solidFill>
          </w14:textFill>
        </w:rPr>
      </w:pP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it-IT"/>
          <w14:textFill>
            <w14:solidFill>
              <w14:srgbClr w14:val="060040"/>
            </w14:solidFill>
          </w14:textFill>
        </w:rPr>
        <w:t>Finalmente, una versi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avanzada se public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ó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y difundi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ó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para la recepci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de aportes por parte de la ciudadan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í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a, previo a la finalizaci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de esta versi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it-IT"/>
          <w14:textFill>
            <w14:solidFill>
              <w14:srgbClr w14:val="060040"/>
            </w14:solidFill>
          </w14:textFill>
        </w:rPr>
        <w:t>n definitiva.</w:t>
      </w:r>
    </w:p>
    <w:p>
      <w:pPr>
        <w:pStyle w:val="Cuerpo"/>
        <w:spacing w:line="240" w:lineRule="auto"/>
        <w:jc w:val="both"/>
      </w:pP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El documento seguir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 xml:space="preserve">á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abierto a la incorporaci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n de adhesiones durante los pr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shd w:val="clear" w:color="auto" w:fill="ffffff"/>
          <w:rtl w:val="0"/>
          <w:lang w:val="pt-PT"/>
          <w14:textFill>
            <w14:solidFill>
              <w14:srgbClr w14:val="060040"/>
            </w14:solidFill>
          </w14:textFill>
        </w:rPr>
        <w:t>ximos meses.</w:t>
      </w:r>
    </w:p>
  </w:footnote>
  <w:footnote w:id="6">
    <w:p>
      <w:pPr>
        <w:pStyle w:val="Cuerpo"/>
        <w:spacing w:line="240" w:lineRule="auto"/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/>
      </w:r>
      <w:r>
        <w:rPr>
          <w:rStyle w:val="Ninguno"/>
          <w:outline w:val="0"/>
          <w:color w:val="060040"/>
          <w:sz w:val="18"/>
          <w:szCs w:val="18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En este sentido, el documento no incluye propuestas relativas al acceso a la justicia en materia penal, sino que se limita a lo relativo a la conflictividad civil.</w:t>
      </w:r>
    </w:p>
  </w:footnote>
  <w:footnote w:id="7">
    <w:p>
      <w:pPr>
        <w:pStyle w:val="Cuerpo"/>
        <w:spacing w:line="240" w:lineRule="auto"/>
        <w:jc w:val="both"/>
      </w:pPr>
      <w:r>
        <w:rPr>
          <w:rStyle w:val="Ninguno"/>
          <w:rFonts w:ascii="Roboto" w:cs="Roboto" w:hAnsi="Roboto" w:eastAsia="Roboto"/>
          <w:outline w:val="0"/>
          <w:color w:val="060040"/>
          <w:sz w:val="20"/>
          <w:szCs w:val="20"/>
          <w:u w:color="060040"/>
          <w:vertAlign w:val="superscript"/>
          <w14:textFill>
            <w14:solidFill>
              <w14:srgbClr w14:val="060040"/>
            </w14:solidFill>
          </w14:textFill>
        </w:rPr>
        <w:footnoteRef/>
      </w:r>
      <w:r>
        <w:rPr>
          <w:rStyle w:val="Ninguno"/>
          <w:outline w:val="0"/>
          <w:color w:val="060040"/>
          <w:sz w:val="18"/>
          <w:szCs w:val="18"/>
          <w:u w:color="060040"/>
          <w:rtl w:val="0"/>
          <w14:textFill>
            <w14:solidFill>
              <w14:srgbClr w14:val="060040"/>
            </w14:solidFill>
          </w14:textFill>
        </w:rPr>
        <w:t xml:space="preserve"> 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La figura del Defensor/a del Pueblo se incluye en este apartado al s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ó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lo efecto de facilitar la lectura y evitar reiteraciones en otros apartados, aunque esta entidad tiene competencias transversales para impulsar cambios tambi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é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n en las instancias judiciales y legislativas, y respecto de las distintas tem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á</w:t>
      </w:r>
      <w:r>
        <w:rPr>
          <w:rStyle w:val="Ninguno"/>
          <w:rFonts w:ascii="Roboto" w:cs="Roboto" w:hAnsi="Roboto" w:eastAsia="Roboto"/>
          <w:outline w:val="0"/>
          <w:color w:val="060040"/>
          <w:sz w:val="16"/>
          <w:szCs w:val="16"/>
          <w:u w:color="060040"/>
          <w:rtl w:val="0"/>
          <w:lang w:val="es-ES_tradnl"/>
          <w14:textFill>
            <w14:solidFill>
              <w14:srgbClr w14:val="060040"/>
            </w14:solidFill>
          </w14:textFill>
        </w:rPr>
        <w:t>ticas que se abordan en este documento.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spacing w:before="200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576938</wp:posOffset>
          </wp:positionH>
          <wp:positionV relativeFrom="page">
            <wp:posOffset>0</wp:posOffset>
          </wp:positionV>
          <wp:extent cx="6367463" cy="1034829"/>
          <wp:effectExtent l="0" t="0" r="0" b="0"/>
          <wp:wrapNone/>
          <wp:docPr id="1073741825" name="officeArt object" descr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4.png" descr="image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463" cy="10348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9526</wp:posOffset>
          </wp:positionH>
          <wp:positionV relativeFrom="page">
            <wp:posOffset>-57148</wp:posOffset>
          </wp:positionV>
          <wp:extent cx="7579794" cy="10720389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794" cy="107203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576938</wp:posOffset>
          </wp:positionH>
          <wp:positionV relativeFrom="page">
            <wp:posOffset>0</wp:posOffset>
          </wp:positionV>
          <wp:extent cx="6367463" cy="1034829"/>
          <wp:effectExtent l="0" t="0" r="0" b="0"/>
          <wp:wrapNone/>
          <wp:docPr id="1073741829" name="officeArt object" descr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4.png" descr="image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463" cy="10348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47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251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440" w:hanging="47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251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160" w:hanging="47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251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80" w:hanging="47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251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0" w:hanging="47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251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320" w:hanging="47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251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040" w:hanging="47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251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760" w:hanging="47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251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80" w:hanging="47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251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68" w:hanging="53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c251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488" w:hanging="53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c251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208" w:hanging="53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c251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928" w:hanging="53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c251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48" w:hanging="53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c251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368" w:hanging="53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c251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88" w:hanging="53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c251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808" w:hanging="53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c251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528" w:hanging="53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c251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0">
    <w:name w:val="Hyperlink.0"/>
    <w:basedOn w:val="Ninguno"/>
    <w:next w:val="Hyperlink.0"/>
    <w:rPr>
      <w:rFonts w:ascii="Rubik Black" w:cs="Rubik Black" w:hAnsi="Rubik Black" w:eastAsia="Rubik Black"/>
      <w:outline w:val="0"/>
      <w:color w:val="060040"/>
      <w:sz w:val="20"/>
      <w:szCs w:val="20"/>
      <w:u w:color="060040"/>
      <w:shd w:val="clear" w:color="auto" w:fill="9fc5e8"/>
      <w14:textFill>
        <w14:solidFill>
          <w14:srgbClr w14:val="06004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