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884C" w14:textId="77777777" w:rsidR="00A2478E" w:rsidRDefault="00A2478E">
      <w:pPr>
        <w:pStyle w:val="Cuerpo"/>
        <w:spacing w:line="276" w:lineRule="auto"/>
        <w:rPr>
          <w:rStyle w:val="Ninguno"/>
          <w:rFonts w:ascii="Roboto" w:eastAsia="Roboto" w:hAnsi="Roboto" w:cs="Roboto"/>
          <w:u w:color="000000"/>
        </w:rPr>
      </w:pPr>
    </w:p>
    <w:p w14:paraId="5C6E8D65" w14:textId="77777777" w:rsidR="00A2478E" w:rsidRDefault="00D8361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Escuela Popular de Jujuy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“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Nuestros Cuerpos, Nuestros</w:t>
      </w:r>
      <w:r w:rsidRPr="00862860">
        <w:rPr>
          <w:rStyle w:val="Ninguno"/>
          <w:rFonts w:ascii="Arial" w:hAnsi="Arial"/>
          <w:b/>
          <w:bCs/>
          <w:sz w:val="24"/>
          <w:szCs w:val="24"/>
          <w:u w:color="000000"/>
          <w:lang w:val="es-ES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Territorios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”</w:t>
      </w:r>
    </w:p>
    <w:p w14:paraId="183347F7" w14:textId="77777777" w:rsidR="00A2478E" w:rsidRPr="00862860" w:rsidRDefault="00D8361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shd w:val="clear" w:color="auto" w:fill="FFFFFF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INFORME FINAL RENDICI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 T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CNICA/PEDAG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GICA</w:t>
      </w:r>
    </w:p>
    <w:p w14:paraId="025C9445" w14:textId="77777777" w:rsidR="00A2478E" w:rsidRDefault="00D83616">
      <w:pPr>
        <w:pStyle w:val="Cuerpo"/>
        <w:spacing w:line="276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shd w:val="clear" w:color="auto" w:fill="FFFFFF"/>
          <w:lang w:val="es-ES_tradnl"/>
        </w:rPr>
        <w:t>Con la Fundaci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shd w:val="clear" w:color="auto" w:fill="FFFFFF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shd w:val="clear" w:color="auto" w:fill="FFFFFF"/>
          <w:lang w:val="es-ES_tradnl"/>
        </w:rPr>
        <w:t xml:space="preserve">n Jama de Jujuy y el apoyo del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Programa de Escuelas Populares de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Formaci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nl-NL"/>
        </w:rPr>
        <w:t>n en G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nero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y Diversidad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“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Macachas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y Remedios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”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del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Ministerio de las Mujeres, 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neros y diversidades </w:t>
      </w:r>
    </w:p>
    <w:p w14:paraId="34B0BDC2" w14:textId="77777777" w:rsidR="00A2478E" w:rsidRDefault="00D83616">
      <w:pPr>
        <w:pStyle w:val="Cuerpo"/>
        <w:spacing w:line="276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Coordinaci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 General: Dra. Mar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a Jos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é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Lubertino (ACDH)</w:t>
      </w:r>
    </w:p>
    <w:p w14:paraId="7B6C9923" w14:textId="77777777" w:rsidR="00A2478E" w:rsidRDefault="00A2478E">
      <w:pPr>
        <w:pStyle w:val="Cuerpo"/>
        <w:spacing w:line="276" w:lineRule="auto"/>
        <w:jc w:val="center"/>
        <w:rPr>
          <w:rFonts w:ascii="Arial" w:eastAsia="Arial" w:hAnsi="Arial" w:cs="Arial"/>
          <w:sz w:val="24"/>
          <w:szCs w:val="24"/>
          <w:u w:color="000000"/>
        </w:rPr>
      </w:pPr>
    </w:p>
    <w:p w14:paraId="103BC682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bCs/>
          <w:sz w:val="24"/>
          <w:szCs w:val="24"/>
          <w:u w:color="000000"/>
          <w:lang w:val="pt-PT"/>
        </w:rPr>
      </w:pPr>
      <w:r>
        <w:rPr>
          <w:rFonts w:ascii="Arial" w:hAnsi="Arial"/>
          <w:b/>
          <w:bCs/>
          <w:sz w:val="24"/>
          <w:szCs w:val="24"/>
          <w:u w:color="000000"/>
          <w:lang w:val="pt-PT"/>
        </w:rPr>
        <w:t xml:space="preserve">Objetivos. </w:t>
      </w:r>
    </w:p>
    <w:p w14:paraId="603B2731" w14:textId="77777777" w:rsidR="00A2478E" w:rsidRDefault="00A2478E">
      <w:pPr>
        <w:pStyle w:val="Cuerpo"/>
        <w:spacing w:line="276" w:lineRule="auto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14:paraId="585B64F5" w14:textId="77777777" w:rsidR="00A2478E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Objetivo General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: Promover un proceso de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formaci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 promotoras en g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nero, igualdad y diversidad que contribuya a la erradicaci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de todo tipo de violencia y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discriminaci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n por pretextos de g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neros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(especialmente en aquellas localidades con mayores </w:t>
      </w:r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ndices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femicidios/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trasnfemicidios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delitos sexuales, nula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aplicaci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n de la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Leyes</w:t>
      </w:r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 Micaela</w:t>
      </w:r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, ESI e ILE), articulando 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el intercambio de experiencias, apoyo y seguimiento.</w:t>
      </w:r>
    </w:p>
    <w:p w14:paraId="453CE2E5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4BD94781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b/>
          <w:bCs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b/>
          <w:b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Objetivos Espec</w:t>
      </w:r>
      <w:r w:rsidRPr="00862860">
        <w:rPr>
          <w:rStyle w:val="Ninguno"/>
          <w:rFonts w:ascii="Arial" w:hAnsi="Arial" w:cs="Arial Unicode MS"/>
          <w:b/>
          <w:bCs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b/>
          <w:bCs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ficos:</w:t>
      </w:r>
    </w:p>
    <w:p w14:paraId="6998F14F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2B6E4E8C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-Poner en v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alor la experiencia de les participantes para el reconocimiento y ejercicio de sus derechos y para la reflexi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cr</w:t>
      </w:r>
      <w:proofErr w:type="spellEnd"/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tica respecto de las estructuras y relaciones de dominaci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n, violencia y desigualdad de g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ascii="Arial" w:hAnsi="Arial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nero.</w:t>
      </w:r>
    </w:p>
    <w:p w14:paraId="41C82B73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3737A568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-Visibilizar la importancia de la deconstrucci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de los mandatos culturales que producen la desigualdad 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de g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nero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la violencia patriarcal, promoviendo la desnaturalizaci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de estas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pr</w:t>
      </w:r>
      <w:proofErr w:type="spellEnd"/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cticas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sociales, culturales,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pol</w:t>
      </w:r>
      <w:proofErr w:type="spellEnd"/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ticas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</w:t>
      </w:r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econ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micas.</w:t>
      </w:r>
    </w:p>
    <w:p w14:paraId="6CD15D52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36F60B20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-Promover miradas y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an</w:t>
      </w:r>
      <w:proofErr w:type="spellEnd"/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lisis interseccionales.</w:t>
      </w:r>
    </w:p>
    <w:p w14:paraId="181599AD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0FB54D87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-Proveer herramientas para pensar y desarrollar iniciativas y estrategias emancipadoras desde una pers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pectiva de g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nero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propiciar la organizaci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 colectiva para hacer llegar a otros los aprendizajes.  </w:t>
      </w:r>
    </w:p>
    <w:p w14:paraId="396BF90D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7E3E4CB9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-Generar compromiso en les participantes para la construcci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redes de contenci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, acompa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ñ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amiento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abordaje territorial.</w:t>
      </w:r>
    </w:p>
    <w:p w14:paraId="37124FB7" w14:textId="77777777" w:rsidR="00A2478E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5488F8B8" w14:textId="77777777" w:rsidR="00A2478E" w:rsidRPr="00862860" w:rsidRDefault="00D83616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-Incentivar articulaciones entre organizaciones y con el Estado a nivel municipal, provincial y federal</w:t>
      </w:r>
      <w:r w:rsidRPr="00862860">
        <w:rPr>
          <w:rStyle w:val="Ninguno"/>
          <w:rFonts w:ascii="Arial" w:hAnsi="Arial" w:cs="Arial Unicode MS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BA917F" w14:textId="77777777" w:rsidR="00A2478E" w:rsidRPr="00862860" w:rsidRDefault="00A2478E">
      <w:pPr>
        <w:widowControl w:val="0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</w:p>
    <w:p w14:paraId="016C8923" w14:textId="77777777" w:rsidR="00A2478E" w:rsidRPr="00862860" w:rsidRDefault="00D83616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  <w:bCs/>
          <w:position w:val="-32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Durante la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ejecuci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n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en 2021 se llevaron adelante los objetivos iniciales.</w:t>
      </w:r>
      <w:r w:rsidRPr="00862860">
        <w:rPr>
          <w:rStyle w:val="Ninguno"/>
          <w:rFonts w:ascii="Arial" w:hAnsi="Arial"/>
          <w:i/>
          <w:iCs/>
          <w:sz w:val="24"/>
          <w:szCs w:val="24"/>
          <w:u w:color="000000"/>
          <w:lang w:val="es-ES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No hubo cambios. 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lo se pas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al formato virtual dadas las restricciones impuestas por la pandemia. La ventaja de la virtualidad fue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poder tener docentes de alto nivel de diferentes lugares del pa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 y formarse desde cualquier lugar de la Provincia. La desventaja fue la falta de acceso a internet o las dificultades de acceso para muchas inscriptas.</w:t>
      </w:r>
    </w:p>
    <w:p w14:paraId="3BD5A895" w14:textId="77777777" w:rsidR="00A2478E" w:rsidRPr="00862860" w:rsidRDefault="00A2478E">
      <w:pPr>
        <w:pStyle w:val="Cuerpo"/>
        <w:spacing w:line="276" w:lineRule="auto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0EB11DB2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rPr>
          <w:rFonts w:ascii="Arial" w:hAnsi="Arial"/>
          <w:b/>
          <w:bCs/>
          <w:sz w:val="24"/>
          <w:szCs w:val="24"/>
          <w:u w:color="000000"/>
          <w:lang w:val="es-ES_tradnl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Plan de actividades. Resultados obten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 xml:space="preserve">idos y </w:t>
      </w:r>
      <w:proofErr w:type="spell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Fonts w:ascii="Arial" w:hAnsi="Arial"/>
          <w:b/>
          <w:bCs/>
          <w:sz w:val="24"/>
          <w:szCs w:val="24"/>
          <w:u w:color="000000"/>
          <w:lang w:val="es-ES"/>
        </w:rPr>
        <w:t>n.</w:t>
      </w:r>
    </w:p>
    <w:p w14:paraId="3BCCF222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4071CC3B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323"/>
        <w:gridCol w:w="3323"/>
      </w:tblGrid>
      <w:tr w:rsidR="00A2478E" w14:paraId="3FAD9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991" w:type="dxa"/>
            <w:tcBorders>
              <w:top w:val="single" w:sz="7" w:space="0" w:color="000000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D104" w14:textId="77777777" w:rsidR="00A2478E" w:rsidRDefault="00D83616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b/>
                <w:bCs/>
                <w:u w:color="000000"/>
                <w:lang w:val="es-ES_tradnl"/>
              </w:rPr>
              <w:t>Actividades realizadas</w:t>
            </w: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81A2" w14:textId="77777777" w:rsidR="00A2478E" w:rsidRDefault="00D83616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b/>
                <w:bCs/>
                <w:u w:color="000000"/>
                <w:lang w:val="es-ES_tradnl"/>
              </w:rPr>
              <w:t>Resultados obtenidos</w:t>
            </w:r>
          </w:p>
        </w:tc>
        <w:tc>
          <w:tcPr>
            <w:tcW w:w="3323" w:type="dxa"/>
            <w:tcBorders>
              <w:top w:val="single" w:sz="7" w:space="0" w:color="000000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155F" w14:textId="77777777" w:rsidR="00A2478E" w:rsidRDefault="00D83616">
            <w:pPr>
              <w:pStyle w:val="Cuerpo"/>
              <w:widowControl w:val="0"/>
              <w:spacing w:line="276" w:lineRule="auto"/>
            </w:pPr>
            <w:r>
              <w:rPr>
                <w:rStyle w:val="Ninguno"/>
                <w:rFonts w:ascii="Roboto" w:eastAsia="Roboto" w:hAnsi="Roboto" w:cs="Roboto"/>
                <w:b/>
                <w:bCs/>
                <w:u w:color="000000"/>
                <w:lang w:val="es-ES_tradnl"/>
              </w:rPr>
              <w:t>Evaluación</w:t>
            </w:r>
          </w:p>
        </w:tc>
      </w:tr>
      <w:tr w:rsidR="00A2478E" w:rsidRPr="00862860" w14:paraId="44CE5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/>
        </w:trPr>
        <w:tc>
          <w:tcPr>
            <w:tcW w:w="2991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FF2C" w14:textId="77777777" w:rsidR="00A2478E" w:rsidRPr="00862860" w:rsidRDefault="00D83616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Diagn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stico y Planificaci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los talleres.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E205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hicieron reuniones preparatorias entre las integrantes de la Fundaci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ón Jama y el equipo técnico del proyecto. Se relevaron datos de la provincia y materiales de experiencias anteriores. Se dividieron tareas académicas, logísticas, de difusión y administrativas contables.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CC02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cumplieron en dos meses los objetivos de esta eta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 xml:space="preserve">pa satisfactoriamente. </w:t>
            </w:r>
          </w:p>
        </w:tc>
      </w:tr>
      <w:tr w:rsidR="00A2478E" w:rsidRPr="00862860" w14:paraId="7C204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/>
        </w:trPr>
        <w:tc>
          <w:tcPr>
            <w:tcW w:w="2991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6A6A" w14:textId="77777777" w:rsidR="00A2478E" w:rsidRPr="00862860" w:rsidRDefault="00D83616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Elaboraci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contenidos pedag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gicos y te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ricos.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361B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convocó a un equipo interdisciplinario e integeneracional de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 xml:space="preserve"> talleristas y docentes de alto nivel y experiencia con integrantes de la Provincia y otras de diferentes partes del país. </w:t>
            </w:r>
          </w:p>
          <w:p w14:paraId="441C7C3B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hicieron reuniones generales y por módulos previas a los talleres. Se discutieron contenidos, metodologías y objetivos de cada cl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ase.</w:t>
            </w:r>
          </w:p>
          <w:p w14:paraId="13D6B5C8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armaron instancias en redes sociales y en moodle para acercar los materales y facilitar su lectura asincrónica.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8509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logró un equipo académico de 21 docentes/ talleristas de diferentes edades, nacionalidades, lugares de residencia, etnias, orientació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n sexual e identidad de género y de diversas formaciones, varias de las cuales aceptaron realizar la tarea  con gran dedicación y algunas incluso ad honorem.</w:t>
            </w:r>
          </w:p>
          <w:p w14:paraId="74E479C4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Excelencia y compromiso sintetizan la evaluación este equipo y de su propuesta pedagógica.</w:t>
            </w:r>
          </w:p>
        </w:tc>
      </w:tr>
      <w:tr w:rsidR="00A2478E" w:rsidRPr="00862860" w14:paraId="34200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/>
        </w:trPr>
        <w:tc>
          <w:tcPr>
            <w:tcW w:w="2991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DDF1" w14:textId="77777777" w:rsidR="00A2478E" w:rsidRPr="00862860" w:rsidRDefault="00D83616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Difusi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de la actividad e inscripciones.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743E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El equipo tecnico de la Fundación Jama estuvo a cargo del diseño de la comun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 xml:space="preserve">icación y  la difusión en invitación las organizaciones , la convocatoria y la inscripción a través de envío de mails, medios de comunicacion locales locales y varias de  las organizaciones participantes contribuimos a replicar en redes sociales. 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3495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alcan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zó a una inscripción de 131 participantes.</w:t>
            </w:r>
          </w:p>
        </w:tc>
      </w:tr>
      <w:tr w:rsidR="00A2478E" w:rsidRPr="00862860" w14:paraId="3C1F7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6"/>
        </w:trPr>
        <w:tc>
          <w:tcPr>
            <w:tcW w:w="2991" w:type="dxa"/>
            <w:tcBorders>
              <w:top w:val="single" w:sz="7" w:space="0" w:color="CCCCCC"/>
              <w:left w:val="single" w:sz="7" w:space="0" w:color="000000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D3C2" w14:textId="77777777" w:rsidR="00A2478E" w:rsidRPr="00862860" w:rsidRDefault="00D83616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Desarrollo de encuentros /talleres virtuales.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97E4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 xml:space="preserve">Se llevaron adelante más de 40 horas de talleres a tales de zoom:  16 encuentros de 3/2,30 horas cada uno. Con 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contenidos teóricos y prácticos, de carácter general y federal y con contenidos provinciales y locales, modalidad virtual y participativa.</w:t>
            </w:r>
          </w:p>
          <w:p w14:paraId="3FE8B436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pudieron a disposición de las participantes todos los powerpoint y materiales mencionados en los talleres y se arm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ó un moodle para continuar con lecturas y videos recomendados e intercambio entre participantes, tallistas y tutoras más allá de los zooms.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3FCD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El equipo técnico y docente tuvo asistencia perfecta, incluida alguna que tuvo Covid durante el desarrollo de los ta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lleres.</w:t>
            </w:r>
          </w:p>
          <w:p w14:paraId="50DA808D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 xml:space="preserve">La coordinadora arbitró los medios para la articulación de las docentes y las tutoras, Las tutoras actuaron con eficacia en el máximo de sus posibilidades para colaborar a la participación de las participantes. </w:t>
            </w:r>
          </w:p>
          <w:p w14:paraId="69827C55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Hubo acompañamiento a las participan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tes por parte de las tutoras y el equipo docente.</w:t>
            </w:r>
          </w:p>
          <w:p w14:paraId="4DE8C449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Hubo 50 participantes activas y 25 que lograron aprobar los altos requerimientos de asistencia y evaluación favorable.</w:t>
            </w:r>
          </w:p>
          <w:p w14:paraId="75BF0493" w14:textId="77777777" w:rsidR="00A2478E" w:rsidRPr="00862860" w:rsidRDefault="00A2478E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</w:p>
        </w:tc>
      </w:tr>
      <w:tr w:rsidR="00A2478E" w:rsidRPr="00862860" w14:paraId="14F59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/>
        </w:trPr>
        <w:tc>
          <w:tcPr>
            <w:tcW w:w="2991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841C" w14:textId="77777777" w:rsidR="00A2478E" w:rsidRPr="00862860" w:rsidRDefault="00D83616">
            <w:pPr>
              <w:spacing w:after="120"/>
              <w:jc w:val="both"/>
              <w:rPr>
                <w:lang w:val="es-ES"/>
              </w:rPr>
            </w:pP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Rendici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final (t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Style w:val="Ninguno"/>
                <w:rFonts w:ascii="Roboto" w:eastAsia="Roboto" w:hAnsi="Roboto" w:cs="Roboto"/>
                <w:b/>
                <w:bCs/>
                <w:color w:val="000000"/>
                <w:position w:val="-8"/>
                <w:sz w:val="22"/>
                <w:szCs w:val="22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cnica y de cuentas).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F418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llevó un puntilloso seguimiento del desarrollo de los encuentros en relació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n a tallistas y participantes.</w:t>
            </w:r>
          </w:p>
          <w:p w14:paraId="47853953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Se hizo un minucioso seguimiento y registros de los gatos efectuados conforme los requerimientos del Ministerios.</w:t>
            </w:r>
          </w:p>
          <w:p w14:paraId="5CF5019D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Hubo un Encuentro final de cierre con todas las participantes, el equipo del proyecto y de la Fundación. Se hic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ieron autoevaluaciones y evaluaciones orales y escritas.</w:t>
            </w:r>
          </w:p>
          <w:p w14:paraId="3E4BC36B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 xml:space="preserve">Se hizo un evento de entrega de certificados a las 25 egresadas de la Escuela. </w:t>
            </w:r>
          </w:p>
        </w:tc>
        <w:tc>
          <w:tcPr>
            <w:tcW w:w="3323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4C279" w14:textId="77777777" w:rsidR="00A2478E" w:rsidRPr="00862860" w:rsidRDefault="00D83616">
            <w:pPr>
              <w:pStyle w:val="Predeterminado"/>
              <w:widowControl w:val="0"/>
              <w:spacing w:before="0" w:line="276" w:lineRule="auto"/>
              <w:jc w:val="both"/>
              <w:rPr>
                <w:lang w:val="es-ES"/>
              </w:rPr>
            </w:pP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Entendemos que los Informes técnicos- pedagógico y la de Rendición de cuentas dan cuenta de la satisfacción de las expe</w:t>
            </w:r>
            <w:r w:rsidRPr="00862860">
              <w:rPr>
                <w:rFonts w:ascii="Roboto" w:eastAsia="Roboto" w:hAnsi="Roboto" w:cs="Roboto"/>
                <w:sz w:val="22"/>
                <w:szCs w:val="22"/>
                <w:u w:color="000000"/>
                <w:lang w:val="es-ES"/>
              </w:rPr>
              <w:t>ctativas de las participantes y cumplen adecuadamente nuestras expectativas y las del Programa Escuelas Populares de Formación en Género y Diversidad “Macachas y Remedios”.</w:t>
            </w:r>
          </w:p>
        </w:tc>
      </w:tr>
    </w:tbl>
    <w:p w14:paraId="2DAE200E" w14:textId="77777777" w:rsidR="00A2478E" w:rsidRPr="00862860" w:rsidRDefault="00A2478E">
      <w:pPr>
        <w:pStyle w:val="Cuerpo"/>
        <w:widowControl w:val="0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0C1093C1" w14:textId="77777777" w:rsidR="00A2478E" w:rsidRPr="00862860" w:rsidRDefault="00A2478E">
      <w:pPr>
        <w:pStyle w:val="Cuerpo"/>
        <w:spacing w:line="276" w:lineRule="auto"/>
        <w:ind w:left="720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7300FE58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082A6EC2" w14:textId="77777777" w:rsidR="00A2478E" w:rsidRDefault="00D83616">
      <w:pPr>
        <w:pStyle w:val="Cuerpo"/>
        <w:numPr>
          <w:ilvl w:val="0"/>
          <w:numId w:val="3"/>
        </w:numPr>
        <w:spacing w:line="276" w:lineRule="auto"/>
        <w:jc w:val="both"/>
        <w:rPr>
          <w:rFonts w:ascii="Arial" w:hAnsi="Arial"/>
          <w:b/>
          <w:bCs/>
          <w:sz w:val="24"/>
          <w:szCs w:val="24"/>
          <w:u w:color="000000"/>
          <w:lang w:val="es-ES_tradnl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Detalle del contenido de los talleres y equipo docente</w:t>
      </w:r>
    </w:p>
    <w:p w14:paraId="5EE7B475" w14:textId="77777777" w:rsidR="00A2478E" w:rsidRPr="00862860" w:rsidRDefault="00A2478E">
      <w:pPr>
        <w:pStyle w:val="Cuerpo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7A02DE3E" w14:textId="77777777" w:rsidR="00A2478E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de-DE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Cada encuentro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const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de 2.30/3h m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 te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ricas 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y  2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h/2.30 de intercambio m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 pr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ctico,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lastRenderedPageBreak/>
        <w:t>con docentes de otras provincias (2 de C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rdoba, 2 de Santa Fe, 1 de Chaco, 5 de CABA y 2 de Provincia de Buenos Aires) y con 2 tutoras y  docentes locales.</w:t>
      </w:r>
    </w:p>
    <w:p w14:paraId="5B14E662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4BD7332A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proofErr w:type="gram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 I</w:t>
      </w:r>
      <w:proofErr w:type="gram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</w:t>
      </w:r>
    </w:p>
    <w:p w14:paraId="19D2ABE0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APERTURA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PRESENTACION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- Diputada Nacional Carolina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Moises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-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Lubertino (Coordinadora del Proyecto) y autoridades de la Fundaci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Jama</w:t>
      </w:r>
    </w:p>
    <w:p w14:paraId="42186D24" w14:textId="77777777" w:rsidR="00A2478E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 xml:space="preserve">1. 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pt-PT"/>
        </w:rPr>
        <w:t>Patriarcad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it-IT"/>
        </w:rPr>
        <w:t>o,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de-DE"/>
        </w:rPr>
        <w:t xml:space="preserve"> machismo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y androcentrismo</w:t>
      </w:r>
    </w:p>
    <w:p w14:paraId="3E1FE3D5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2.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pt-PT"/>
        </w:rPr>
        <w:t>Feminismo. Conceptos e historizaci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Style w:val="Ninguno"/>
          <w:rFonts w:ascii="Arial" w:hAnsi="Arial"/>
          <w:b/>
          <w:bCs/>
          <w:sz w:val="24"/>
          <w:szCs w:val="24"/>
          <w:u w:color="000000"/>
          <w:lang w:val="es-ES"/>
        </w:rPr>
        <w:t>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. Feminismo ilustrado, feminismo de la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primera ola, feminismo de la segunda ola y feminismos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 popular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es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.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Movimiento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pol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tico, te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rico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y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pr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 xml:space="preserve">ctico.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Ideas centrales del feminismo de la igualdad y de la diferencia, el feminismo postestructuralista, el feminismo interseccional, ecofeminismo, transfeminismo y los feminismos populares. </w:t>
      </w:r>
    </w:p>
    <w:p w14:paraId="68742F7A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 virtual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: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Malka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Manestar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(ANDHES Jujuy) y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Maria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Lubertin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o (ACDH)</w:t>
      </w:r>
    </w:p>
    <w:p w14:paraId="4C4E5800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7492DB6D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II</w:t>
      </w:r>
    </w:p>
    <w:p w14:paraId="40F8E639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3. </w:t>
      </w:r>
      <w:r w:rsidRPr="00862860">
        <w:rPr>
          <w:rStyle w:val="Ninguno"/>
          <w:rFonts w:ascii="Arial" w:hAnsi="Arial"/>
          <w:b/>
          <w:bCs/>
          <w:sz w:val="24"/>
          <w:szCs w:val="24"/>
          <w:u w:color="000000"/>
          <w:lang w:val="es-ES"/>
        </w:rPr>
        <w:t>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neros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y diversidad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. 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S</w:t>
      </w:r>
      <w:r>
        <w:rPr>
          <w:rStyle w:val="Ninguno"/>
          <w:rFonts w:ascii="Arial" w:hAnsi="Arial"/>
          <w:sz w:val="24"/>
          <w:szCs w:val="24"/>
          <w:u w:color="000000"/>
          <w:lang w:val="de-DE"/>
        </w:rPr>
        <w:t>exo/g</w:t>
      </w:r>
      <w:r>
        <w:rPr>
          <w:rStyle w:val="Ninguno"/>
          <w:rFonts w:ascii="Arial" w:hAnsi="Arial"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nero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, contrato sexual, </w:t>
      </w:r>
      <w:r>
        <w:rPr>
          <w:rStyle w:val="Ninguno"/>
          <w:rFonts w:ascii="Arial" w:hAnsi="Arial"/>
          <w:sz w:val="24"/>
          <w:szCs w:val="24"/>
          <w:u w:color="000000"/>
          <w:lang w:val="nl-NL"/>
        </w:rPr>
        <w:t>divisi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sexual del trabajo, la idea de la mujer como el segundo sexo. Sororidad.  Interseccionalidad.</w:t>
      </w:r>
    </w:p>
    <w:p w14:paraId="27A4FBD7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4.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Instrumentos y compromisos internacionales de protecci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 de los derechos humanos y leyes nacionales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para modificar los patrones socioculturales que sustentan una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jerarqu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entre los g</w:t>
      </w:r>
      <w:r>
        <w:rPr>
          <w:rStyle w:val="Ninguno"/>
          <w:rFonts w:ascii="Arial" w:hAnsi="Arial"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neros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y lograr la eliminaci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de la desigualdad que legitima o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profundiza la violencia contra mujeres y diversidades: CEDAW, Convenci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n de Belem Do Par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, PAM Beijing, Cairo, Principios de Yogyakarta, Ley N</w:t>
      </w:r>
      <w:r>
        <w:rPr>
          <w:rStyle w:val="Ninguno"/>
          <w:rFonts w:ascii="Arial" w:hAnsi="Arial"/>
          <w:sz w:val="24"/>
          <w:szCs w:val="24"/>
          <w:u w:color="000000"/>
          <w:lang w:val="it-IT"/>
        </w:rPr>
        <w:t xml:space="preserve">° 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26.485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(Violencia contra las mujeres), Ley N</w:t>
      </w:r>
      <w:r>
        <w:rPr>
          <w:rStyle w:val="Ninguno"/>
          <w:rFonts w:ascii="Arial" w:hAnsi="Arial"/>
          <w:sz w:val="24"/>
          <w:szCs w:val="24"/>
          <w:u w:color="000000"/>
          <w:lang w:val="it-IT"/>
        </w:rPr>
        <w:t xml:space="preserve">° 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26.743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(Identidad de G</w:t>
      </w:r>
      <w:r>
        <w:rPr>
          <w:rStyle w:val="Ninguno"/>
          <w:rFonts w:ascii="Arial" w:hAnsi="Arial"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nero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) y sus Decretos Reglamentarios N</w:t>
      </w:r>
      <w:r>
        <w:rPr>
          <w:rStyle w:val="Ninguno"/>
          <w:rFonts w:ascii="Arial" w:hAnsi="Arial"/>
          <w:sz w:val="24"/>
          <w:szCs w:val="24"/>
          <w:u w:color="000000"/>
          <w:lang w:val="it-IT"/>
        </w:rPr>
        <w:t xml:space="preserve">°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1007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/2012 y 903/2015.</w:t>
      </w:r>
    </w:p>
    <w:p w14:paraId="7F5E267E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Docentes:  Marina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Vilte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(Movimiento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Ailen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Chambi/FALGBT Jujuy)-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Malka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Manestar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(ANDHES Jujuy)-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Maria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Lubertino (ACDH).</w:t>
      </w:r>
    </w:p>
    <w:p w14:paraId="59F7A33D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0C3E318E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III</w:t>
      </w:r>
    </w:p>
    <w:p w14:paraId="48FFD89F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5.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Violencias por pretextos de 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nero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: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Prevenci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; Asistencia, acompa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amiento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y protecci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a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personas en situaci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de violencia y herramientas de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intervenci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n;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Acceso a la justicia; proyectos con enfoque interseccional para grupos en situaci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de vulnerabilidad y de violencia.</w:t>
      </w:r>
    </w:p>
    <w:p w14:paraId="1A2622E8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Docentes: Marcela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Peronja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para acceso a la justicia (Red Mujeres para l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a Justicia), Marisa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Malvestiti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para violencia de g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nero (Red Mujeres para la Justicia/ Jueza de familia San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cristobal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, Santa Fe) y Gabriela Rivera (Jujuy)</w:t>
      </w:r>
    </w:p>
    <w:p w14:paraId="4415DB46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6.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pt-PT"/>
        </w:rPr>
        <w:t>Diversidades.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Historia del colectivo LGBTTIQ+;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Derechos y Acceso a DESC. Violencia. Interseccional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idades: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tnicas, culturales, discapacidad, religiosas, etarias, pobreza, otras.</w:t>
      </w:r>
    </w:p>
    <w:p w14:paraId="1589E0BA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 virtual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: Diana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Zilberman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- Marina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Vilte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(Movimiento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Ailen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Chambi/FALGBT Jujuy) </w:t>
      </w:r>
    </w:p>
    <w:p w14:paraId="657F004E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543BAE24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IV</w:t>
      </w:r>
    </w:p>
    <w:p w14:paraId="109473F2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7.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Salud e Igualdad de 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fr-FR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it-IT"/>
        </w:rPr>
        <w:t>nero.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Derechos Sexuales y reproductivos. Educaci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Sexual integral. Acceso a m</w:t>
      </w:r>
      <w:r>
        <w:rPr>
          <w:rStyle w:val="Ninguno"/>
          <w:rFonts w:ascii="Arial" w:hAnsi="Arial"/>
          <w:sz w:val="24"/>
          <w:szCs w:val="24"/>
          <w:u w:color="000000"/>
          <w:lang w:val="fr-FR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todos anticonceptivos. Aborto. Atenci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sanitaria de personas LGBT. Cambio de sexo.</w:t>
      </w:r>
    </w:p>
    <w:p w14:paraId="2A30CEBA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Docentes: Diana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Zilberman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- Gabriela Rivera (Mesa de articulaci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de La Quiaca - Jujuy)</w:t>
      </w:r>
    </w:p>
    <w:p w14:paraId="2D7777CF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8.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pt-PT"/>
        </w:rPr>
        <w:t>Cuidados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. Universalidad en el acceso; Valorizaci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n; Roles y estereotipos 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hegem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nicos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y tareas de cuidado. Uso del tiempo. Corresponsabilidad </w:t>
      </w:r>
    </w:p>
    <w:p w14:paraId="5B3C098D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Docentes: Virginia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Franganillo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-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Alvarez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Carrera (Juanita Moro Jujuy)</w:t>
      </w:r>
    </w:p>
    <w:p w14:paraId="29475FC2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323160C8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V</w:t>
      </w:r>
    </w:p>
    <w:p w14:paraId="2B5AA130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9. </w:t>
      </w:r>
      <w:r w:rsidRPr="00862860">
        <w:rPr>
          <w:rStyle w:val="Ninguno"/>
          <w:rFonts w:ascii="Arial" w:hAnsi="Arial"/>
          <w:b/>
          <w:bCs/>
          <w:sz w:val="24"/>
          <w:szCs w:val="24"/>
          <w:u w:color="000000"/>
          <w:lang w:val="es-ES"/>
        </w:rPr>
        <w:t>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nero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y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Trabajo remunerado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.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Desempleo.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Precarizaci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n. Acoso laboral. Cupo laboral trans.</w:t>
      </w:r>
    </w:p>
    <w:p w14:paraId="4EE681AF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color w:val="FF2D21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Lubertino (ACDH)- Yolanda Chanchi (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Secretaria General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de ATSA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lastRenderedPageBreak/>
        <w:t>Jujuy) y Ver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nica Aramayo (Secretaria Gremial de APUAP, Jujuy).</w:t>
      </w:r>
    </w:p>
    <w:p w14:paraId="7C09E8D8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10.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Mujeres de pueblos origi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narios y</w:t>
      </w:r>
      <w:r w:rsidRPr="00862860">
        <w:rPr>
          <w:rStyle w:val="Ninguno"/>
          <w:rFonts w:ascii="Arial" w:hAnsi="Arial"/>
          <w:b/>
          <w:bCs/>
          <w:color w:val="FF2D21"/>
          <w:sz w:val="24"/>
          <w:szCs w:val="24"/>
          <w:u w:color="000000"/>
          <w:lang w:val="es-ES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pt-PT"/>
        </w:rPr>
        <w:t xml:space="preserve">afros. 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Racismo. Buen Vivir. Estado Plurinacional</w:t>
      </w:r>
    </w:p>
    <w:p w14:paraId="2336913E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 Paula Alvarado (Red de defensoras del Ambiente y el Buen Vivir / Articulaci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de los Pueblos del </w:t>
      </w:r>
      <w:proofErr w:type="spellStart"/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Qollasuyu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)/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Patricia Gomes (Asociaci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Caboveridiana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) /Agustina Roca  (Juanita Moro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Jujuy)</w:t>
      </w:r>
    </w:p>
    <w:p w14:paraId="7F6ECB37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5876F910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VI</w:t>
      </w:r>
    </w:p>
    <w:p w14:paraId="673DACDB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11.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Mujeres migrantes y refugiadas. 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Xenofobia. </w:t>
      </w:r>
    </w:p>
    <w:p w14:paraId="441D49CA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</w:t>
      </w:r>
      <w:r>
        <w:rPr>
          <w:rStyle w:val="Ninguno"/>
          <w:rFonts w:ascii="Arial" w:hAnsi="Arial"/>
          <w:color w:val="FF2D21"/>
          <w:sz w:val="24"/>
          <w:szCs w:val="24"/>
          <w:u w:color="00000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Natividad Obeso (AMUMRA) - Violeta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Gonzalez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(AMUMRA) y Ana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Gantiva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(AMUMRA)</w:t>
      </w:r>
    </w:p>
    <w:p w14:paraId="32A4AA5E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12.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Mujeres rurales-campesinas.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Soberan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it-IT"/>
        </w:rPr>
        <w:t>a alimentaria. Agrot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pt-PT"/>
        </w:rPr>
        <w:t xml:space="preserve">xicos.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Extractivismo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Minero.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Violencia. Cuidados.</w:t>
      </w:r>
    </w:p>
    <w:p w14:paraId="7228A5C5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Ang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lica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Kees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(Red de defensoras del ambiente y el Buen Vivir- Chaco) y    Agustina Roca (Juanita Moro Jujuy)</w:t>
      </w:r>
    </w:p>
    <w:p w14:paraId="1C6C7DAA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091DA96B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VII</w:t>
      </w:r>
    </w:p>
    <w:p w14:paraId="51F92C5C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13.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Mujeres urbanas.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Extractivismo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urbano. Ciudades patriarcales y la Ciudad con ojos de mujeres. Ciudades seguras para las mujeres. Planes de igualdad. La Ciudad de los 15 minutos.</w:t>
      </w:r>
    </w:p>
    <w:p w14:paraId="5F27B1FE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color w:val="FF2D21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Lubertino (ACDH)-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a Soledad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Perez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y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Nazar (CISCSA de C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rdoba)</w:t>
      </w:r>
    </w:p>
    <w:p w14:paraId="10E43EAF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1</w:t>
      </w: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4. 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Lenguaje, Comunicaci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 y Educaci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 con perspectiva de g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nero</w:t>
      </w:r>
      <w:proofErr w:type="spellEnd"/>
    </w:p>
    <w:p w14:paraId="1F457826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 Gabriela Rivera (Mesa de articulaci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de La Quiaca- Jujuy) - Georgina Torino (Juanita Moro Jujuy)</w:t>
      </w:r>
    </w:p>
    <w:p w14:paraId="471F029A" w14:textId="77777777" w:rsidR="00A2478E" w:rsidRPr="00862860" w:rsidRDefault="00A2478E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0BB39BA6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MODULO VIII</w:t>
      </w:r>
    </w:p>
    <w:p w14:paraId="0466F0A5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 xml:space="preserve">15.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Participaci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  <w:lang w:val="de-DE"/>
        </w:rPr>
        <w:t>n Pol</w:t>
      </w:r>
      <w:r w:rsidRPr="00862860">
        <w:rPr>
          <w:rStyle w:val="Ninguno"/>
          <w:rFonts w:ascii="Arial" w:hAnsi="Arial"/>
          <w:b/>
          <w:bCs/>
          <w:sz w:val="24"/>
          <w:szCs w:val="24"/>
          <w:u w:color="000000"/>
          <w:lang w:val="es-ES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it-IT"/>
        </w:rPr>
        <w:t xml:space="preserve">tica. </w:t>
      </w:r>
      <w:r>
        <w:rPr>
          <w:rStyle w:val="Ninguno"/>
          <w:rFonts w:ascii="Arial" w:hAnsi="Arial"/>
          <w:sz w:val="24"/>
          <w:szCs w:val="24"/>
          <w:u w:color="000000"/>
          <w:lang w:val="it-IT"/>
        </w:rPr>
        <w:t>Del voto al c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upo. Del cupo a la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paridad. Democracia participativa.</w:t>
      </w:r>
    </w:p>
    <w:p w14:paraId="7C2AAC66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Docentes: Mar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Jos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é 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Lubertino(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ACDH) - Noemi Isasmendi (Red de Mujeres Pol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ticas- Jujuy).</w:t>
      </w:r>
    </w:p>
    <w:p w14:paraId="0C24C9AE" w14:textId="77777777" w:rsidR="00A2478E" w:rsidRPr="00862860" w:rsidRDefault="00D83616">
      <w:pPr>
        <w:pStyle w:val="Cuerpo"/>
        <w:widowControl w:val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16.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 xml:space="preserve"> ENCUENTRO DE EVALUACION y CIERRE</w:t>
      </w:r>
    </w:p>
    <w:p w14:paraId="7A59DF2A" w14:textId="77777777" w:rsidR="00A2478E" w:rsidRPr="00862860" w:rsidRDefault="00D83616">
      <w:pPr>
        <w:pStyle w:val="Cuerpo"/>
        <w:widowControl w:val="0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Docentes: Mar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 Jos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é 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Lubertino - Noelia Alfaro - Silvina Cabezas y Diputada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Nac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. </w:t>
      </w:r>
      <w:r>
        <w:rPr>
          <w:rFonts w:ascii="Arial" w:hAnsi="Arial"/>
          <w:sz w:val="24"/>
          <w:szCs w:val="24"/>
          <w:u w:color="000000"/>
          <w:lang w:val="es-ES_tradnl"/>
        </w:rPr>
        <w:t>Carolina Mois</w:t>
      </w:r>
      <w:r>
        <w:rPr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lang w:val="es-ES_tradnl"/>
        </w:rPr>
        <w:t>s. Con la participaci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de autoridades y docentes de la Escuela.</w:t>
      </w:r>
    </w:p>
    <w:p w14:paraId="64D34EFC" w14:textId="77777777" w:rsidR="00A2478E" w:rsidRPr="00862860" w:rsidRDefault="00A2478E">
      <w:pPr>
        <w:pStyle w:val="Cuerpo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1989F5C9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bCs/>
          <w:sz w:val="24"/>
          <w:szCs w:val="24"/>
          <w:u w:color="000000"/>
          <w:lang w:val="es-ES_tradnl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Aportes del proyecto a la Fundaci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n JAMA</w:t>
      </w:r>
      <w:r w:rsidRPr="00862860">
        <w:rPr>
          <w:rFonts w:ascii="Arial" w:hAnsi="Arial"/>
          <w:b/>
          <w:bCs/>
          <w:sz w:val="24"/>
          <w:szCs w:val="24"/>
          <w:u w:color="000000"/>
          <w:lang w:val="es-ES"/>
        </w:rPr>
        <w:t xml:space="preserve">. </w:t>
      </w:r>
    </w:p>
    <w:p w14:paraId="5CA6EA7F" w14:textId="77777777" w:rsidR="00A2478E" w:rsidRPr="00862860" w:rsidRDefault="00A2478E">
      <w:pPr>
        <w:pStyle w:val="Cuerpo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0A7EF91C" w14:textId="77777777" w:rsidR="00A2478E" w:rsidRPr="00862860" w:rsidRDefault="00D83616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Los principales 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impacto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 que el Proyecto gener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en la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organizaci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Style w:val="Ninguno"/>
          <w:rFonts w:ascii="Arial" w:hAnsi="Arial"/>
          <w:sz w:val="24"/>
          <w:szCs w:val="24"/>
          <w:u w:color="000000"/>
          <w:lang w:val="es-ES"/>
        </w:rPr>
        <w:t>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fueron que fue la primera vez que la Fundaci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Jama, a pesar de su vasta experiencia de trabajo social y con 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mujeres,  abord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un trabajo con perspectiva feminista de g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nero y diversidades. </w:t>
      </w:r>
    </w:p>
    <w:p w14:paraId="44275B06" w14:textId="77777777" w:rsidR="00A2478E" w:rsidRPr="00862860" w:rsidRDefault="00D83616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su vez fortaleci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la red de articulaciones de la Fundaci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Jama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a nivel federal con otras organizaciones e instituciones afines lo cual permitir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estar insertas en nuevas oportunidades de acceso a informaci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n, conocimientos y de acci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conjunta en las varias redes feministas a las que pertenecemos quienes trabajamos e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el proyecto. A su vez el poder disponer de algunos recursos econ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micos permiti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rentar a parte del equipo y optimizar la difusi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y 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plica de los contenidos.</w:t>
      </w:r>
    </w:p>
    <w:p w14:paraId="34DBC355" w14:textId="77777777" w:rsidR="00A2478E" w:rsidRPr="00862860" w:rsidRDefault="00D83616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Permiti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probar y ajustar equipo docente, contenidos y materiales de la Escuela Feminista Popul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ar, lo cual facilitar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su 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plica tanto presencial como virtual o mixta en otras ciudades y en otras provincias.</w:t>
      </w:r>
    </w:p>
    <w:p w14:paraId="6DE158A9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791341DA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72D24F23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bCs/>
          <w:sz w:val="24"/>
          <w:szCs w:val="24"/>
          <w:u w:color="000000"/>
          <w:lang w:val="it-IT"/>
        </w:rPr>
      </w:pPr>
      <w:r>
        <w:rPr>
          <w:rFonts w:ascii="Arial" w:hAnsi="Arial"/>
          <w:b/>
          <w:bCs/>
          <w:sz w:val="24"/>
          <w:szCs w:val="24"/>
          <w:u w:color="000000"/>
          <w:lang w:val="it-IT"/>
        </w:rPr>
        <w:lastRenderedPageBreak/>
        <w:t>Destinatarixs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Directxs</w:t>
      </w:r>
      <w:proofErr w:type="spellEnd"/>
      <w:r>
        <w:rPr>
          <w:rFonts w:ascii="Arial" w:hAnsi="Arial"/>
          <w:b/>
          <w:bCs/>
          <w:sz w:val="24"/>
          <w:szCs w:val="24"/>
          <w:u w:color="000000"/>
        </w:rPr>
        <w:t xml:space="preserve">. </w:t>
      </w:r>
    </w:p>
    <w:p w14:paraId="0932F72A" w14:textId="77777777" w:rsidR="00A2478E" w:rsidRDefault="00A2478E">
      <w:pPr>
        <w:pStyle w:val="Cuerpo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0340CD12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Directamente se alcanz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 una poblaci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de 131 mujeres y disidencias de distintas localidades de Jujuy integrantes de diferentes organizaciones, colectivos o comunidades o docentes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interesadxs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en promover su formaci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y trabajar en red, de todas las edades, 8 de ellas con residencia en provinc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ias de Buenos Aires, 2 en Salta, 4 en Catamarca, 2 en Chubut, 1 en Tucum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y 1 en Chaco que se acercaron al proyecto y mostraron su inter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s, con las que se seguir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contacto en actividades presenciales en la medida en que la pandemia lo permita. 50 de las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inscriptas participaron m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s activamente y 25 cumplieron con las altas exigencias de la carga horaria y recibir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su certificado (Ver planillas adjuntas de 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inscripci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.</w:t>
      </w:r>
      <w:proofErr w:type="gram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</w:t>
      </w:r>
    </w:p>
    <w:p w14:paraId="6807D19A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0F00E548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Principales Articulaciones.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 </w:t>
      </w:r>
    </w:p>
    <w:p w14:paraId="3068A797" w14:textId="77777777" w:rsidR="00A2478E" w:rsidRDefault="00A2478E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14:paraId="39F21AAE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 xml:space="preserve">Se llevaron adelante articulaciones a lo largo y ancho 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de la provincia con municipios, comisiones municipales y diputadas y legisladoras y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diferentes ONG de Jujuy que trabajan la tem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tica: en la Puna la Fundaci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Fundar, en San Salvador con la Red de Mujeres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Politicas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, la Agrupaci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n Templanza en los diferentes puntos, la Red de Periodistas feministas. </w:t>
      </w:r>
      <w:r>
        <w:rPr>
          <w:rFonts w:ascii="Arial" w:hAnsi="Arial"/>
          <w:sz w:val="24"/>
          <w:szCs w:val="24"/>
          <w:u w:color="000000"/>
          <w:lang w:val="es-ES_tradnl"/>
        </w:rPr>
        <w:t>Especialmente se generaron nuevas articulaciones con la Red de Defensoras del Ambiente y el Buen Vivir, la Red de M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ujeres para la Justicia, la Multisectorial de Mujeres y disidencias, la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Asociacion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de Mujeres Migrantes y refugiadas de la Argentina (que tambi</w:t>
      </w:r>
      <w:r>
        <w:rPr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lang w:val="es-ES_tradnl"/>
        </w:rPr>
        <w:t>n est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á 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constituyendo una Red de migrantes), la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Asociacion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Ciudadana por los derechos humanos, la Federaci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Arge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ntina LGBT, la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Asociacion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de </w:t>
      </w:r>
      <w:r>
        <w:rPr>
          <w:rFonts w:ascii="Arial" w:hAnsi="Arial"/>
          <w:sz w:val="24"/>
          <w:szCs w:val="24"/>
          <w:u w:color="000000"/>
          <w:lang w:val="pt-PT"/>
        </w:rPr>
        <w:t>de Travestis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, Transexuales </w:t>
      </w:r>
      <w:r w:rsidRPr="00862860">
        <w:rPr>
          <w:rFonts w:ascii="Arial" w:hAnsi="Arial"/>
          <w:sz w:val="24"/>
          <w:szCs w:val="24"/>
          <w:u w:color="000000"/>
          <w:lang w:val="es-ES"/>
        </w:rPr>
        <w:t>y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 </w:t>
      </w:r>
      <w:r>
        <w:rPr>
          <w:rFonts w:ascii="Arial" w:hAnsi="Arial"/>
          <w:sz w:val="24"/>
          <w:szCs w:val="24"/>
          <w:u w:color="000000"/>
          <w:lang w:val="de-DE"/>
        </w:rPr>
        <w:t>Transg</w:t>
      </w:r>
      <w:r>
        <w:rPr>
          <w:rFonts w:ascii="Arial" w:hAnsi="Arial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neros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de Argentina, la Asociaci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de Abogados Ind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genas,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la Comisi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de Equidad de g</w:t>
      </w:r>
      <w:r>
        <w:rPr>
          <w:rStyle w:val="Ninguno"/>
          <w:rFonts w:ascii="Arial" w:hAnsi="Arial"/>
          <w:sz w:val="24"/>
          <w:szCs w:val="24"/>
          <w:u w:color="000000"/>
          <w:lang w:val="fr-FR"/>
        </w:rPr>
        <w:t>é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nero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del Consejo de la Sociedad Civil de la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Cancilleria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Argentina y la </w:t>
      </w:r>
      <w:r>
        <w:rPr>
          <w:rStyle w:val="Ninguno"/>
          <w:rFonts w:ascii="Arial" w:hAnsi="Arial"/>
          <w:sz w:val="24"/>
          <w:szCs w:val="24"/>
          <w:u w:color="000000"/>
          <w:lang w:val="it-IT"/>
        </w:rPr>
        <w:t>Campa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Nacional por el derecho al 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aborto </w:t>
      </w:r>
      <w:r>
        <w:rPr>
          <w:rFonts w:ascii="Arial" w:hAnsi="Arial"/>
          <w:sz w:val="24"/>
          <w:szCs w:val="24"/>
          <w:u w:color="000000"/>
          <w:lang w:val="es-ES_tradnl"/>
        </w:rPr>
        <w:t>entre otras.</w:t>
      </w:r>
    </w:p>
    <w:p w14:paraId="17F66259" w14:textId="77777777" w:rsidR="00A2478E" w:rsidRPr="00862860" w:rsidRDefault="00A2478E">
      <w:pPr>
        <w:pStyle w:val="Cuerpo"/>
        <w:spacing w:line="276" w:lineRule="auto"/>
        <w:rPr>
          <w:rStyle w:val="Ninguno"/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6227C1B4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bCs/>
          <w:sz w:val="24"/>
          <w:szCs w:val="24"/>
          <w:u w:color="000000"/>
          <w:lang w:val="es-ES_tradnl"/>
        </w:rPr>
      </w:pP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 xml:space="preserve">Observaciones durante la </w:t>
      </w:r>
      <w:proofErr w:type="spellStart"/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ejecuci</w:t>
      </w:r>
      <w:r>
        <w:rPr>
          <w:rStyle w:val="Ninguno"/>
          <w:rFonts w:ascii="Arial" w:hAnsi="Arial"/>
          <w:b/>
          <w:bCs/>
          <w:sz w:val="24"/>
          <w:szCs w:val="24"/>
          <w:u w:color="000000"/>
          <w:lang w:val="es-ES_tradnl"/>
        </w:rPr>
        <w:t>ó</w:t>
      </w:r>
      <w:proofErr w:type="spellEnd"/>
      <w:r w:rsidRPr="00862860">
        <w:rPr>
          <w:rFonts w:ascii="Arial" w:hAnsi="Arial"/>
          <w:b/>
          <w:bCs/>
          <w:sz w:val="24"/>
          <w:szCs w:val="24"/>
          <w:u w:color="000000"/>
          <w:lang w:val="es-ES"/>
        </w:rPr>
        <w:t xml:space="preserve">n. 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>P</w:t>
      </w:r>
      <w:proofErr w:type="spellStart"/>
      <w:r>
        <w:rPr>
          <w:rFonts w:ascii="Arial" w:hAnsi="Arial"/>
          <w:b/>
          <w:bCs/>
          <w:sz w:val="24"/>
          <w:szCs w:val="24"/>
          <w:u w:color="000000"/>
          <w:lang w:val="fr-FR"/>
        </w:rPr>
        <w:t>rincipales</w:t>
      </w:r>
      <w:proofErr w:type="spellEnd"/>
      <w:r>
        <w:rPr>
          <w:rFonts w:ascii="Arial" w:hAnsi="Arial"/>
          <w:b/>
          <w:bCs/>
          <w:sz w:val="24"/>
          <w:szCs w:val="24"/>
          <w:u w:color="000000"/>
          <w:lang w:val="fr-FR"/>
        </w:rPr>
        <w:t xml:space="preserve"> </w:t>
      </w:r>
      <w:r>
        <w:rPr>
          <w:rFonts w:ascii="Arial" w:hAnsi="Arial"/>
          <w:b/>
          <w:bCs/>
          <w:sz w:val="24"/>
          <w:szCs w:val="24"/>
          <w:u w:color="000000"/>
          <w:lang w:val="es-ES_tradnl"/>
        </w:rPr>
        <w:t xml:space="preserve">conclusiones, recomendaciones y aprendizajes. </w:t>
      </w:r>
    </w:p>
    <w:p w14:paraId="2A3EFA46" w14:textId="77777777" w:rsidR="00A2478E" w:rsidRPr="00862860" w:rsidRDefault="00A2478E">
      <w:pPr>
        <w:pStyle w:val="Cuerpo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4D1407C6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Lo m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s importante es que logramos llevar adelante el proyecto a pesar de la pandemia. Lamentamos las dificultades de falta de </w:t>
      </w:r>
      <w:r>
        <w:rPr>
          <w:rFonts w:ascii="Arial" w:hAnsi="Arial"/>
          <w:sz w:val="24"/>
          <w:szCs w:val="24"/>
          <w:u w:color="000000"/>
          <w:lang w:val="es-ES_tradnl"/>
        </w:rPr>
        <w:t>conectividad o dificultades en el acceso a medios tecnol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gicos de la mayor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a de las inscriptas. A esto se suma el costo de datos que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tenia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para la mayor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 de las participantes que ten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an que conectar 5 o 6 horas semanales por sus celulares. </w:t>
      </w:r>
      <w:proofErr w:type="gramStart"/>
      <w:r>
        <w:rPr>
          <w:rFonts w:ascii="Arial" w:hAnsi="Arial"/>
          <w:sz w:val="24"/>
          <w:szCs w:val="24"/>
          <w:u w:color="000000"/>
          <w:lang w:val="es-ES_tradnl"/>
        </w:rPr>
        <w:t>Adem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s</w:t>
      </w:r>
      <w:proofErr w:type="gramEnd"/>
      <w:r>
        <w:rPr>
          <w:rFonts w:ascii="Arial" w:hAnsi="Arial"/>
          <w:sz w:val="24"/>
          <w:szCs w:val="24"/>
          <w:u w:color="000000"/>
          <w:lang w:val="es-ES_tradnl"/>
        </w:rPr>
        <w:t xml:space="preserve"> la sobre</w:t>
      </w:r>
      <w:r>
        <w:rPr>
          <w:rFonts w:ascii="Arial" w:hAnsi="Arial"/>
          <w:sz w:val="24"/>
          <w:szCs w:val="24"/>
          <w:u w:color="000000"/>
          <w:lang w:val="es-ES_tradnl"/>
        </w:rPr>
        <w:t>carga de tareas que esto signific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Fonts w:ascii="Arial" w:hAnsi="Arial"/>
          <w:sz w:val="24"/>
          <w:szCs w:val="24"/>
          <w:u w:color="000000"/>
          <w:lang w:val="es-ES_tradnl"/>
        </w:rPr>
        <w:t>para la mayor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 de las mujeres (participantes, equipo t</w:t>
      </w:r>
      <w:r>
        <w:rPr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lang w:val="es-ES_tradnl"/>
        </w:rPr>
        <w:t>cnico y docentes) y la saturaci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n de muchas de nosotras en la permanencia ante las pantallas y en redes sociales. Todo esto llevo a que de </w:t>
      </w:r>
      <w:proofErr w:type="gramStart"/>
      <w:r>
        <w:rPr>
          <w:rFonts w:ascii="Arial" w:hAnsi="Arial"/>
          <w:sz w:val="24"/>
          <w:szCs w:val="24"/>
          <w:u w:color="000000"/>
          <w:lang w:val="es-ES_tradnl"/>
        </w:rPr>
        <w:t xml:space="preserve">131  </w:t>
      </w:r>
      <w:r>
        <w:rPr>
          <w:rFonts w:ascii="Arial" w:hAnsi="Arial"/>
          <w:sz w:val="24"/>
          <w:szCs w:val="24"/>
          <w:u w:color="000000"/>
          <w:lang w:val="es-ES_tradnl"/>
        </w:rPr>
        <w:t>entusiastas</w:t>
      </w:r>
      <w:proofErr w:type="gramEnd"/>
      <w:r>
        <w:rPr>
          <w:rFonts w:ascii="Arial" w:hAnsi="Arial"/>
          <w:sz w:val="24"/>
          <w:szCs w:val="24"/>
          <w:u w:color="000000"/>
          <w:lang w:val="es-ES_tradnl"/>
        </w:rPr>
        <w:t xml:space="preserve">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inscriptxs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inicialmente, s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lo 50 participaran m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s activamente y solo 25 pudieran aprobar la Escuela.</w:t>
      </w:r>
    </w:p>
    <w:p w14:paraId="147B278D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Pero por contraposici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con el presupuesto asignado al proyecto hubiera sido inviable si hubi</w:t>
      </w:r>
      <w:r>
        <w:rPr>
          <w:rFonts w:ascii="Arial" w:hAnsi="Arial"/>
          <w:sz w:val="24"/>
          <w:szCs w:val="24"/>
          <w:u w:color="000000"/>
          <w:lang w:val="es-ES_tradnl"/>
        </w:rPr>
        <w:t>é</w:t>
      </w:r>
      <w:r>
        <w:rPr>
          <w:rFonts w:ascii="Arial" w:hAnsi="Arial"/>
          <w:sz w:val="24"/>
          <w:szCs w:val="24"/>
          <w:u w:color="000000"/>
          <w:lang w:val="es-ES_tradnl"/>
        </w:rPr>
        <w:t>ramos tenido que llevar adelante este proyecto en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 forma presencial porque no hubiera alcanzado para pasajes, alojamiento y vi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ticos de las talleristas. Es decir, que por contrapartida la vitalidad nos permiti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ó </w:t>
      </w:r>
      <w:r>
        <w:rPr>
          <w:rFonts w:ascii="Arial" w:hAnsi="Arial"/>
          <w:sz w:val="24"/>
          <w:szCs w:val="24"/>
          <w:u w:color="000000"/>
          <w:lang w:val="es-ES_tradnl"/>
        </w:rPr>
        <w:t>tener un equipo federal con docentes que probablemente no hubieran podido ser parte dejando sus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 tareas </w:t>
      </w:r>
      <w:proofErr w:type="gramStart"/>
      <w:r>
        <w:rPr>
          <w:rFonts w:ascii="Arial" w:hAnsi="Arial"/>
          <w:sz w:val="24"/>
          <w:szCs w:val="24"/>
          <w:u w:color="000000"/>
          <w:lang w:val="es-ES_tradnl"/>
        </w:rPr>
        <w:t>ni</w:t>
      </w:r>
      <w:proofErr w:type="gramEnd"/>
      <w:r>
        <w:rPr>
          <w:rFonts w:ascii="Arial" w:hAnsi="Arial"/>
          <w:sz w:val="24"/>
          <w:szCs w:val="24"/>
          <w:u w:color="000000"/>
          <w:lang w:val="es-ES_tradnl"/>
        </w:rPr>
        <w:t xml:space="preserve"> aunque se les hubieran cubierto los gastos.</w:t>
      </w:r>
    </w:p>
    <w:p w14:paraId="53A8FFEC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lastRenderedPageBreak/>
        <w:t>Creemos que el alto compromiso del equipo docente y las tutoras y el apoyo del equipo de la fundaci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fueron los puntales para sostener el desarrollo de punta a punta en un contexto de tantas dificulta</w:t>
      </w:r>
      <w:r>
        <w:rPr>
          <w:rFonts w:ascii="Arial" w:hAnsi="Arial"/>
          <w:sz w:val="24"/>
          <w:szCs w:val="24"/>
          <w:u w:color="000000"/>
          <w:lang w:val="es-ES_tradnl"/>
        </w:rPr>
        <w:t>des.</w:t>
      </w:r>
    </w:p>
    <w:p w14:paraId="156EE750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 xml:space="preserve">Nos parece </w:t>
      </w:r>
      <w:proofErr w:type="gramStart"/>
      <w:r>
        <w:rPr>
          <w:rFonts w:ascii="Arial" w:hAnsi="Arial"/>
          <w:sz w:val="24"/>
          <w:szCs w:val="24"/>
          <w:u w:color="000000"/>
          <w:lang w:val="es-ES_tradnl"/>
        </w:rPr>
        <w:t>que</w:t>
      </w:r>
      <w:proofErr w:type="gramEnd"/>
      <w:r>
        <w:rPr>
          <w:rFonts w:ascii="Arial" w:hAnsi="Arial"/>
          <w:sz w:val="24"/>
          <w:szCs w:val="24"/>
          <w:u w:color="000000"/>
          <w:lang w:val="es-ES_tradnl"/>
        </w:rPr>
        <w:t xml:space="preserve"> para el trabajo llevado adelante por esta coordinaci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n, las tutoras y las docentes los honorarios fueron muy bajos, para el c</w:t>
      </w:r>
      <w:r>
        <w:rPr>
          <w:rFonts w:ascii="Arial" w:hAnsi="Arial"/>
          <w:sz w:val="24"/>
          <w:szCs w:val="24"/>
          <w:u w:color="00000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lang w:val="es-ES_tradnl"/>
        </w:rPr>
        <w:t>mulo de trabajo y la cantidad de meses. Habr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 que prever el cobro de m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s horas por el trabajo de selecci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n y </w:t>
      </w:r>
      <w:r>
        <w:rPr>
          <w:rFonts w:ascii="Arial" w:hAnsi="Arial"/>
          <w:sz w:val="24"/>
          <w:szCs w:val="24"/>
          <w:u w:color="000000"/>
          <w:lang w:val="es-ES_tradnl"/>
        </w:rPr>
        <w:t>preparaci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de materiales did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cticos.</w:t>
      </w:r>
    </w:p>
    <w:p w14:paraId="5AACB516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 xml:space="preserve">La exigencia de 40 horas de talleres por parte del Ministerio se hizo costa arriba en la modalidad </w:t>
      </w:r>
      <w:proofErr w:type="gramStart"/>
      <w:r>
        <w:rPr>
          <w:rFonts w:ascii="Arial" w:hAnsi="Arial"/>
          <w:sz w:val="24"/>
          <w:szCs w:val="24"/>
          <w:u w:color="000000"/>
          <w:lang w:val="es-ES_tradnl"/>
        </w:rPr>
        <w:t>virtual</w:t>
      </w:r>
      <w:proofErr w:type="gramEnd"/>
      <w:r>
        <w:rPr>
          <w:rFonts w:ascii="Arial" w:hAnsi="Arial"/>
          <w:sz w:val="24"/>
          <w:szCs w:val="24"/>
          <w:u w:color="000000"/>
          <w:lang w:val="es-ES_tradnl"/>
        </w:rPr>
        <w:t xml:space="preserve"> pero la sostuvimos tal como se hab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a comprometido.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Sugeririamos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 xml:space="preserve"> no ser tan inflexibles con eso y confiar m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s en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 que pueda ser moldeado seg</w:t>
      </w:r>
      <w:r>
        <w:rPr>
          <w:rFonts w:ascii="Arial" w:hAnsi="Arial"/>
          <w:sz w:val="24"/>
          <w:szCs w:val="24"/>
          <w:u w:color="000000"/>
          <w:lang w:val="es-ES_tradnl"/>
        </w:rPr>
        <w:t>ú</w:t>
      </w:r>
      <w:r>
        <w:rPr>
          <w:rFonts w:ascii="Arial" w:hAnsi="Arial"/>
          <w:sz w:val="24"/>
          <w:szCs w:val="24"/>
          <w:u w:color="000000"/>
          <w:lang w:val="es-ES_tradnl"/>
        </w:rPr>
        <w:t>n los criterios pedag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gicos de los equipos en los contextos y circunstancias. </w:t>
      </w:r>
    </w:p>
    <w:p w14:paraId="2EAC02B5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Hubo muchos gastos no contemplados en el proyecto que debieron ser cubiertos por equipo propio de la Fundaci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Jama. As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í </w:t>
      </w:r>
      <w:r>
        <w:rPr>
          <w:rFonts w:ascii="Arial" w:hAnsi="Arial"/>
          <w:sz w:val="24"/>
          <w:szCs w:val="24"/>
          <w:u w:color="000000"/>
          <w:lang w:val="es-ES_tradnl"/>
        </w:rPr>
        <w:t>conexi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n a internet, </w:t>
      </w:r>
      <w:proofErr w:type="spellStart"/>
      <w:r>
        <w:rPr>
          <w:rFonts w:ascii="Arial" w:hAnsi="Arial"/>
          <w:sz w:val="24"/>
          <w:szCs w:val="24"/>
          <w:u w:color="000000"/>
          <w:lang w:val="es-ES_tradnl"/>
        </w:rPr>
        <w:t>moodle</w:t>
      </w:r>
      <w:proofErr w:type="spellEnd"/>
      <w:r>
        <w:rPr>
          <w:rFonts w:ascii="Arial" w:hAnsi="Arial"/>
          <w:sz w:val="24"/>
          <w:szCs w:val="24"/>
          <w:u w:color="000000"/>
          <w:lang w:val="es-ES_tradnl"/>
        </w:rPr>
        <w:t>,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 prensa y difusi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n, personal administrativo y contable. </w:t>
      </w:r>
    </w:p>
    <w:p w14:paraId="17F09AF2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Sugerir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amos ampliar el monto de los apoyos, m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xime considerando el momento en que se presupuesta y se presentan los proyectos, la inflaci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y cuando se desembolsa el dinero y se ejecuta. No nos pare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ce que se deba reproducir en este </w:t>
      </w:r>
      <w:r>
        <w:rPr>
          <w:rFonts w:ascii="Arial" w:hAnsi="Arial"/>
          <w:sz w:val="24"/>
          <w:szCs w:val="24"/>
          <w:u w:color="000000"/>
          <w:lang w:val="es-ES_tradnl"/>
        </w:rPr>
        <w:t>á</w:t>
      </w:r>
      <w:r>
        <w:rPr>
          <w:rFonts w:ascii="Arial" w:hAnsi="Arial"/>
          <w:sz w:val="24"/>
          <w:szCs w:val="24"/>
          <w:u w:color="000000"/>
          <w:lang w:val="es-ES_tradnl"/>
        </w:rPr>
        <w:t>mbito la precarizaci</w:t>
      </w:r>
      <w:r>
        <w:rPr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lang w:val="es-ES_tradnl"/>
        </w:rPr>
        <w:t>n laboral de quienes aportamos desde la sociedad civil.</w:t>
      </w:r>
    </w:p>
    <w:p w14:paraId="0474EA71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Repetir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amos la experiencia en nuevas escuelas presenciales en distintas localidades de la Provincia, tratando de involucrar a las 25 egresadas </w:t>
      </w:r>
      <w:r>
        <w:rPr>
          <w:rFonts w:ascii="Arial" w:hAnsi="Arial"/>
          <w:sz w:val="24"/>
          <w:szCs w:val="24"/>
          <w:u w:color="000000"/>
          <w:lang w:val="es-ES_tradnl"/>
        </w:rPr>
        <w:t xml:space="preserve">y ajustando los contenidos a las particularidades de las destinatarias. </w:t>
      </w:r>
    </w:p>
    <w:p w14:paraId="1452B131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Fonts w:ascii="Arial" w:hAnsi="Arial"/>
          <w:sz w:val="24"/>
          <w:szCs w:val="24"/>
          <w:u w:color="000000"/>
          <w:lang w:val="es-ES_tradnl"/>
        </w:rPr>
        <w:t>Repetir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amos la experiencia de Escuelas virtuales en otras provincias manteniendo el esquema del equipo federal combinado docentes locales en cada caso y sin dudas incluir</w:t>
      </w:r>
      <w:r>
        <w:rPr>
          <w:rFonts w:ascii="Arial" w:hAnsi="Arial"/>
          <w:sz w:val="24"/>
          <w:szCs w:val="24"/>
          <w:u w:color="000000"/>
          <w:lang w:val="es-ES_tradnl"/>
        </w:rPr>
        <w:t>í</w:t>
      </w:r>
      <w:r>
        <w:rPr>
          <w:rFonts w:ascii="Arial" w:hAnsi="Arial"/>
          <w:sz w:val="24"/>
          <w:szCs w:val="24"/>
          <w:u w:color="000000"/>
          <w:lang w:val="es-ES_tradnl"/>
        </w:rPr>
        <w:t>amos a vari</w:t>
      </w:r>
      <w:r>
        <w:rPr>
          <w:rFonts w:ascii="Arial" w:hAnsi="Arial"/>
          <w:sz w:val="24"/>
          <w:szCs w:val="24"/>
          <w:u w:color="000000"/>
          <w:lang w:val="es-ES_tradnl"/>
        </w:rPr>
        <w:t>as de las docentes juje</w:t>
      </w:r>
      <w:r>
        <w:rPr>
          <w:rFonts w:ascii="Arial" w:hAnsi="Arial"/>
          <w:sz w:val="24"/>
          <w:szCs w:val="24"/>
          <w:u w:color="00000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lang w:val="es-ES_tradnl"/>
        </w:rPr>
        <w:t>as.</w:t>
      </w:r>
    </w:p>
    <w:p w14:paraId="43646ADC" w14:textId="77777777" w:rsidR="00A2478E" w:rsidRPr="00862860" w:rsidRDefault="00A2478E">
      <w:pPr>
        <w:pStyle w:val="Cuerpo"/>
        <w:spacing w:line="276" w:lineRule="auto"/>
        <w:rPr>
          <w:rFonts w:ascii="Arial" w:eastAsia="Arial" w:hAnsi="Arial" w:cs="Arial"/>
          <w:sz w:val="24"/>
          <w:szCs w:val="24"/>
          <w:u w:color="000000"/>
          <w:lang w:val="es-ES"/>
        </w:rPr>
      </w:pPr>
    </w:p>
    <w:p w14:paraId="7E644D63" w14:textId="77777777" w:rsidR="00A2478E" w:rsidRDefault="00D83616">
      <w:pPr>
        <w:pStyle w:val="Cuerpo"/>
        <w:numPr>
          <w:ilvl w:val="0"/>
          <w:numId w:val="2"/>
        </w:numPr>
        <w:spacing w:line="276" w:lineRule="auto"/>
        <w:rPr>
          <w:rFonts w:ascii="Arial" w:hAnsi="Arial"/>
          <w:b/>
          <w:bCs/>
          <w:sz w:val="24"/>
          <w:szCs w:val="24"/>
          <w:u w:color="000000"/>
          <w:lang w:val="pt-PT"/>
        </w:rPr>
      </w:pPr>
      <w:r>
        <w:rPr>
          <w:rFonts w:ascii="Arial" w:hAnsi="Arial"/>
          <w:b/>
          <w:bCs/>
          <w:sz w:val="24"/>
          <w:szCs w:val="24"/>
          <w:u w:color="000000"/>
          <w:lang w:val="pt-PT"/>
        </w:rPr>
        <w:t xml:space="preserve">Sustentabilidad. </w:t>
      </w:r>
    </w:p>
    <w:p w14:paraId="68F9DC81" w14:textId="77777777" w:rsidR="00A2478E" w:rsidRDefault="00A2478E">
      <w:pPr>
        <w:pStyle w:val="Cuerpo"/>
        <w:spacing w:line="276" w:lineRule="auto"/>
        <w:rPr>
          <w:rStyle w:val="Ninguno"/>
          <w:rFonts w:ascii="Arial" w:eastAsia="Arial" w:hAnsi="Arial" w:cs="Arial"/>
          <w:i/>
          <w:iCs/>
          <w:sz w:val="24"/>
          <w:szCs w:val="24"/>
          <w:u w:color="000000"/>
          <w:lang w:val="es-ES_tradnl"/>
        </w:rPr>
      </w:pPr>
    </w:p>
    <w:p w14:paraId="548D1F59" w14:textId="77777777" w:rsidR="00A2478E" w:rsidRDefault="00D83616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  <w:lang w:val="es-ES_tradnl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7.1. </w:t>
      </w:r>
      <w:r>
        <w:rPr>
          <w:rStyle w:val="Ninguno"/>
          <w:rFonts w:ascii="Arial" w:hAnsi="Arial"/>
          <w:sz w:val="24"/>
          <w:szCs w:val="24"/>
          <w:u w:color="000000"/>
          <w:lang w:val="pt-PT"/>
        </w:rPr>
        <w:t>Nos comprometemos a seguir acompa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ando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a las mujeres en la ejecuci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>n de sus propuestas y compromisos prioritarios que garanticen un cambio en sus comunidades.</w:t>
      </w:r>
    </w:p>
    <w:p w14:paraId="44F8750B" w14:textId="77777777" w:rsidR="00A2478E" w:rsidRPr="00862860" w:rsidRDefault="00D83616">
      <w:pPr>
        <w:pStyle w:val="Cuerpo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s-ES"/>
        </w:rPr>
      </w:pPr>
      <w:r>
        <w:rPr>
          <w:rStyle w:val="Ninguno"/>
          <w:rFonts w:ascii="Arial" w:hAnsi="Arial"/>
          <w:sz w:val="24"/>
          <w:szCs w:val="24"/>
          <w:u w:color="000000"/>
          <w:lang w:val="es-ES_tradnl"/>
        </w:rPr>
        <w:t xml:space="preserve"> </w:t>
      </w:r>
    </w:p>
    <w:p w14:paraId="0AAF0D6D" w14:textId="77777777" w:rsidR="00A2478E" w:rsidRPr="00862860" w:rsidRDefault="00D83616">
      <w:pPr>
        <w:spacing w:after="200"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position w:val="-8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7.</w:t>
      </w:r>
      <w:proofErr w:type="gramStart"/>
      <w:r>
        <w:rPr>
          <w:rFonts w:ascii="Arial" w:hAnsi="Arial" w:cs="Arial Unicode MS"/>
          <w:color w:val="000000"/>
          <w:position w:val="-8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2.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Nos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comprometemos a multiplicar los dispositivos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trabajo territorial y la cantidad de mujeres en la modalidad de formaci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formadoras de modo de asegurar una presencia permanente en cada una de sus comunidades.</w:t>
      </w:r>
    </w:p>
    <w:p w14:paraId="78A2CDAF" w14:textId="77777777" w:rsidR="00A2478E" w:rsidRPr="00862860" w:rsidRDefault="00D83616">
      <w:pPr>
        <w:spacing w:after="200"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7.3. Queremos compartir informaci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para una m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á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s extendida apropiac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derechos por todes, intercambiar herramientas para una mejor eficacia en el acceso a los derechos humanos con perspectiva de g</w:t>
      </w:r>
      <w:r>
        <w:rPr>
          <w:rStyle w:val="Ninguno"/>
          <w:rFonts w:ascii="Arial" w:hAnsi="Arial" w:cs="Arial Unicode MS"/>
          <w:color w:val="000000"/>
          <w:u w:color="000000"/>
          <w:lang w:val="fr-FR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nero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refinar estrategias para un cambio de paradigma desde un feminismo popular, a partir de la elaboraci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propuestas y proyectos concretos para sus grupos, barrios o comunidades.</w:t>
      </w:r>
    </w:p>
    <w:p w14:paraId="18B9B088" w14:textId="77777777" w:rsidR="00A2478E" w:rsidRDefault="00D83616">
      <w:pPr>
        <w:spacing w:after="200"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7.4. Podemos replicar la experiencia en otras localidades de la provincia si resulta de </w:t>
      </w:r>
      <w:proofErr w:type="spell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inter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é</w:t>
      </w:r>
      <w:proofErr w:type="spellEnd"/>
      <w:r>
        <w:rPr>
          <w:rStyle w:val="Ninguno"/>
          <w:rFonts w:ascii="Arial" w:hAnsi="Arial" w:cs="Arial Unicode MS"/>
          <w:color w:val="000000"/>
          <w:u w:color="000000"/>
          <w:lang w:val="pt-PT"/>
          <w14:textOutline w14:w="0" w14:cap="flat" w14:cmpd="sng" w14:algn="ctr">
            <w14:noFill/>
            <w14:prstDash w14:val="solid"/>
            <w14:bevel/>
          </w14:textOutline>
        </w:rPr>
        <w:t>s.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hecho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la Fundaci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Jama hab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 presentado inicialmente varios proyectos de los cuales s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lo este fue aprobado.</w:t>
      </w:r>
    </w:p>
    <w:p w14:paraId="26B611EC" w14:textId="77777777" w:rsidR="00A2478E" w:rsidRPr="00862860" w:rsidRDefault="00D83616">
      <w:pPr>
        <w:spacing w:after="200" w:line="276" w:lineRule="auto"/>
        <w:jc w:val="both"/>
        <w:rPr>
          <w:rStyle w:val="Ninguno"/>
          <w:rFonts w:ascii="Arial" w:eastAsia="Arial" w:hAnsi="Arial" w:cs="Arial"/>
          <w:color w:val="000000"/>
          <w:u w:color="000000"/>
          <w:lang w:val="es-E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7.5. Varias de las participantes y talleristas de otras provincias quieren llevar esta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Escuela  Feminista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Popular a sus provincias (Chaco, Salta, Santa Fe,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Misiones, CABA  y Chubut). 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De </w:t>
      </w:r>
      <w:proofErr w:type="gramStart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hecho</w:t>
      </w:r>
      <w:proofErr w:type="gramEnd"/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en Chaco, Salta, CABA y Misiones nuestras articulaciones de la Red de defensoras del Ambiente y el Buen Vivir y de la Multisectorial de las Mujeres y disidencias ya hab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amos presentado proyectos similares.</w:t>
      </w:r>
    </w:p>
    <w:p w14:paraId="31DA4D46" w14:textId="77777777" w:rsidR="00A2478E" w:rsidRPr="00862860" w:rsidRDefault="00A2478E">
      <w:pPr>
        <w:pStyle w:val="Cuerpo"/>
        <w:spacing w:before="200" w:after="160" w:line="259" w:lineRule="auto"/>
        <w:rPr>
          <w:rFonts w:ascii="Arial" w:eastAsia="Arial" w:hAnsi="Arial" w:cs="Arial"/>
          <w:b/>
          <w:bCs/>
          <w:sz w:val="24"/>
          <w:szCs w:val="24"/>
          <w:u w:color="000000"/>
          <w:lang w:val="es-ES"/>
        </w:rPr>
      </w:pPr>
    </w:p>
    <w:p w14:paraId="1ED3354C" w14:textId="77777777" w:rsidR="00A2478E" w:rsidRPr="00862860" w:rsidRDefault="00A2478E">
      <w:pPr>
        <w:pStyle w:val="Cuerpo"/>
        <w:spacing w:before="200" w:after="160" w:line="259" w:lineRule="auto"/>
        <w:rPr>
          <w:rFonts w:ascii="Arial" w:eastAsia="Arial" w:hAnsi="Arial" w:cs="Arial"/>
          <w:u w:color="000000"/>
          <w:lang w:val="es-ES"/>
        </w:rPr>
      </w:pPr>
    </w:p>
    <w:p w14:paraId="27B0674C" w14:textId="77777777" w:rsidR="00A2478E" w:rsidRPr="00862860" w:rsidRDefault="00A2478E">
      <w:pPr>
        <w:pStyle w:val="Cuerpo"/>
        <w:spacing w:before="200" w:after="160" w:line="259" w:lineRule="auto"/>
        <w:rPr>
          <w:lang w:val="es-ES"/>
        </w:rPr>
      </w:pPr>
    </w:p>
    <w:sectPr w:rsidR="00A2478E" w:rsidRPr="0086286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2D22" w14:textId="77777777" w:rsidR="00D83616" w:rsidRDefault="00D83616">
      <w:r>
        <w:separator/>
      </w:r>
    </w:p>
  </w:endnote>
  <w:endnote w:type="continuationSeparator" w:id="0">
    <w:p w14:paraId="2465C1AD" w14:textId="77777777" w:rsidR="00D83616" w:rsidRDefault="00D8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BEF" w14:textId="77777777" w:rsidR="00A2478E" w:rsidRDefault="00A24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56A8" w14:textId="77777777" w:rsidR="00D83616" w:rsidRDefault="00D83616">
      <w:r>
        <w:separator/>
      </w:r>
    </w:p>
  </w:footnote>
  <w:footnote w:type="continuationSeparator" w:id="0">
    <w:p w14:paraId="53460457" w14:textId="77777777" w:rsidR="00D83616" w:rsidRDefault="00D8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8BEC" w14:textId="77777777" w:rsidR="00A2478E" w:rsidRDefault="00A247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4CB"/>
    <w:multiLevelType w:val="hybridMultilevel"/>
    <w:tmpl w:val="08F26586"/>
    <w:styleLink w:val="Estiloimportado1"/>
    <w:lvl w:ilvl="0" w:tplc="510E153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A0B48">
      <w:start w:val="1"/>
      <w:numFmt w:val="lowerLetter"/>
      <w:lvlText w:val="%2."/>
      <w:lvlJc w:val="left"/>
      <w:pPr>
        <w:ind w:left="150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70664E">
      <w:start w:val="1"/>
      <w:numFmt w:val="lowerRoman"/>
      <w:lvlText w:val="%3."/>
      <w:lvlJc w:val="left"/>
      <w:pPr>
        <w:ind w:left="2237" w:hanging="9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80672">
      <w:start w:val="1"/>
      <w:numFmt w:val="decimal"/>
      <w:lvlText w:val="%4."/>
      <w:lvlJc w:val="left"/>
      <w:pPr>
        <w:ind w:left="294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257BE">
      <w:start w:val="1"/>
      <w:numFmt w:val="lowerLetter"/>
      <w:lvlText w:val="%5."/>
      <w:lvlJc w:val="left"/>
      <w:pPr>
        <w:ind w:left="366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80080">
      <w:start w:val="1"/>
      <w:numFmt w:val="lowerRoman"/>
      <w:lvlText w:val="%6."/>
      <w:lvlJc w:val="left"/>
      <w:pPr>
        <w:ind w:left="4397" w:hanging="9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BA4D52">
      <w:start w:val="1"/>
      <w:numFmt w:val="decimal"/>
      <w:lvlText w:val="%7."/>
      <w:lvlJc w:val="left"/>
      <w:pPr>
        <w:ind w:left="510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72848C">
      <w:start w:val="1"/>
      <w:numFmt w:val="lowerLetter"/>
      <w:lvlText w:val="%8."/>
      <w:lvlJc w:val="left"/>
      <w:pPr>
        <w:ind w:left="5825" w:hanging="7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A69524">
      <w:start w:val="1"/>
      <w:numFmt w:val="lowerRoman"/>
      <w:lvlText w:val="%9."/>
      <w:lvlJc w:val="left"/>
      <w:pPr>
        <w:ind w:left="6557" w:hanging="91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AC12AEB"/>
    <w:multiLevelType w:val="hybridMultilevel"/>
    <w:tmpl w:val="08F26586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8E"/>
    <w:rsid w:val="00862860"/>
    <w:rsid w:val="00A2478E"/>
    <w:rsid w:val="00D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7B63"/>
  <w15:docId w15:val="{F7E68E19-466E-4DDD-8B7E-0B2BBCC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2679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pereyra</dc:creator>
  <cp:lastModifiedBy>Edu pereyra</cp:lastModifiedBy>
  <cp:revision>2</cp:revision>
  <dcterms:created xsi:type="dcterms:W3CDTF">2022-02-15T12:18:00Z</dcterms:created>
  <dcterms:modified xsi:type="dcterms:W3CDTF">2022-02-15T12:18:00Z</dcterms:modified>
</cp:coreProperties>
</file>